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F3E" w:rsidRPr="00654099" w:rsidRDefault="00247F3E" w:rsidP="00601FCF">
      <w:pPr>
        <w:spacing w:before="120" w:after="120" w:line="240" w:lineRule="auto"/>
        <w:jc w:val="both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/>
        </w:rPr>
      </w:pPr>
      <w:r w:rsidRPr="00247F3E">
        <w:rPr>
          <w:rFonts w:ascii="Verdana" w:eastAsia="Times New Roman" w:hAnsi="Verdana" w:cs="Times New Roman"/>
          <w:b/>
          <w:bCs/>
          <w:kern w:val="36"/>
          <w:sz w:val="24"/>
          <w:szCs w:val="24"/>
        </w:rPr>
        <w:t xml:space="preserve">Движение вверх по технологическим переделам </w:t>
      </w:r>
      <w:r>
        <w:rPr>
          <w:rFonts w:ascii="Verdana" w:eastAsia="Times New Roman" w:hAnsi="Verdana" w:cs="Times New Roman"/>
          <w:b/>
          <w:bCs/>
          <w:kern w:val="36"/>
          <w:sz w:val="24"/>
          <w:szCs w:val="24"/>
        </w:rPr>
        <w:t>раскроет</w:t>
      </w:r>
      <w:r w:rsidRPr="00247F3E">
        <w:rPr>
          <w:rFonts w:ascii="Verdana" w:eastAsia="Times New Roman" w:hAnsi="Verdana" w:cs="Times New Roman"/>
          <w:b/>
          <w:bCs/>
          <w:kern w:val="36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b/>
          <w:bCs/>
          <w:kern w:val="36"/>
          <w:sz w:val="24"/>
          <w:szCs w:val="24"/>
        </w:rPr>
        <w:t xml:space="preserve">колоссальный </w:t>
      </w:r>
      <w:r w:rsidRPr="00247F3E">
        <w:rPr>
          <w:rFonts w:ascii="Verdana" w:eastAsia="Times New Roman" w:hAnsi="Verdana" w:cs="Times New Roman"/>
          <w:b/>
          <w:bCs/>
          <w:kern w:val="36"/>
          <w:sz w:val="24"/>
          <w:szCs w:val="24"/>
        </w:rPr>
        <w:t>промышленный потенциал Евразийского региона</w:t>
      </w:r>
      <w:r>
        <w:rPr>
          <w:rFonts w:ascii="Verdana" w:eastAsia="Times New Roman" w:hAnsi="Verdana" w:cs="Times New Roman"/>
          <w:b/>
          <w:bCs/>
          <w:kern w:val="36"/>
          <w:sz w:val="24"/>
          <w:szCs w:val="24"/>
        </w:rPr>
        <w:t>: новое исследование ЕАБР</w:t>
      </w:r>
      <w:r w:rsidR="00654099"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/>
        </w:rPr>
        <w:t>.</w:t>
      </w:r>
      <w:bookmarkStart w:id="0" w:name="_GoBack"/>
      <w:bookmarkEnd w:id="0"/>
    </w:p>
    <w:p w:rsidR="007B3429" w:rsidRPr="007B3429" w:rsidRDefault="007B3429" w:rsidP="007B3429">
      <w:pPr>
        <w:spacing w:before="120" w:after="120" w:line="240" w:lineRule="auto"/>
        <w:jc w:val="both"/>
        <w:rPr>
          <w:rFonts w:ascii="Verdana" w:eastAsia="Times New Roman" w:hAnsi="Verdana" w:cs="Times New Roman"/>
          <w:b/>
          <w:sz w:val="24"/>
          <w:szCs w:val="24"/>
        </w:rPr>
      </w:pPr>
      <w:r w:rsidRPr="007B3429">
        <w:rPr>
          <w:rFonts w:ascii="Verdana" w:eastAsia="Times New Roman" w:hAnsi="Verdana" w:cs="Times New Roman"/>
          <w:b/>
          <w:sz w:val="24"/>
          <w:szCs w:val="24"/>
        </w:rPr>
        <w:t xml:space="preserve">Алматы, 7 октября 2025 года </w:t>
      </w:r>
    </w:p>
    <w:p w:rsidR="007B3429" w:rsidRPr="007B3429" w:rsidRDefault="007B3429" w:rsidP="007B3429">
      <w:pPr>
        <w:spacing w:before="120" w:after="12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0317AF">
        <w:rPr>
          <w:rFonts w:ascii="Verdana" w:eastAsia="Times New Roman" w:hAnsi="Verdana" w:cs="Times New Roman"/>
          <w:bCs/>
          <w:sz w:val="24"/>
          <w:szCs w:val="24"/>
        </w:rPr>
        <w:t>Евразийский банк развития (ЕАБР)</w:t>
      </w:r>
      <w:r w:rsidRPr="000317AF">
        <w:rPr>
          <w:rFonts w:ascii="Verdana" w:eastAsia="Times New Roman" w:hAnsi="Verdana" w:cs="Times New Roman"/>
          <w:sz w:val="24"/>
          <w:szCs w:val="24"/>
        </w:rPr>
        <w:t xml:space="preserve"> представил результаты нового аналитического исследования «</w:t>
      </w:r>
      <w:r w:rsidRPr="000317AF">
        <w:rPr>
          <w:rFonts w:ascii="Verdana" w:eastAsia="Times New Roman" w:hAnsi="Verdana" w:cs="Times New Roman"/>
          <w:i/>
          <w:sz w:val="24"/>
          <w:szCs w:val="24"/>
        </w:rPr>
        <w:t>Потенциал</w:t>
      </w:r>
      <w:r w:rsidRPr="007B3429">
        <w:rPr>
          <w:rFonts w:ascii="Verdana" w:eastAsia="Times New Roman" w:hAnsi="Verdana" w:cs="Times New Roman"/>
          <w:i/>
          <w:sz w:val="24"/>
          <w:szCs w:val="24"/>
        </w:rPr>
        <w:t xml:space="preserve"> развития промышленности высоких переделов в Евразийском регионе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». Согласно докладу, переход от сырьевой экспортной модели к развитию производств с высокой добавленной стоимостью может принести экономике региона свыше </w:t>
      </w:r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>$5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0</w:t>
      </w:r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>0 млрд в год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. В исследовании определены приоритетные отрасли и продукты для каждой страны, оцениваются потенциалы роста экспорта и </w:t>
      </w:r>
      <w:proofErr w:type="spellStart"/>
      <w:r w:rsidRPr="007B3429">
        <w:rPr>
          <w:rFonts w:ascii="Verdana" w:eastAsia="Times New Roman" w:hAnsi="Verdana" w:cs="Times New Roman"/>
          <w:sz w:val="24"/>
          <w:szCs w:val="24"/>
        </w:rPr>
        <w:t>импортозамещения</w:t>
      </w:r>
      <w:proofErr w:type="spellEnd"/>
      <w:r w:rsidRPr="007B3429">
        <w:rPr>
          <w:rFonts w:ascii="Verdana" w:eastAsia="Times New Roman" w:hAnsi="Verdana" w:cs="Times New Roman"/>
          <w:sz w:val="24"/>
          <w:szCs w:val="24"/>
        </w:rPr>
        <w:t>, а также предлагается комплекс мер по индустриальному развитию и интеграции в глобальные цепочки добавленной стоимости. Выводы доклада актуальны для формирования промышленной политики государств региона и поиска бизнес-ниш для инвестиций.</w:t>
      </w:r>
    </w:p>
    <w:p w:rsidR="007B3429" w:rsidRPr="007B3429" w:rsidRDefault="007B3429" w:rsidP="007B3429">
      <w:pPr>
        <w:spacing w:before="120" w:after="12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>Основные результаты исследования:</w:t>
      </w:r>
    </w:p>
    <w:p w:rsidR="007B3429" w:rsidRPr="007B3429" w:rsidRDefault="007B3429" w:rsidP="007B3429">
      <w:pPr>
        <w:numPr>
          <w:ilvl w:val="0"/>
          <w:numId w:val="1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>Рост экспорта: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 промышленный потенциал </w:t>
      </w:r>
      <w:r>
        <w:rPr>
          <w:rFonts w:ascii="Verdana" w:eastAsia="Times New Roman" w:hAnsi="Verdana" w:cs="Times New Roman"/>
          <w:sz w:val="24"/>
          <w:szCs w:val="24"/>
        </w:rPr>
        <w:t xml:space="preserve">Евразийского </w:t>
      </w:r>
      <w:r w:rsidRPr="007B3429">
        <w:rPr>
          <w:rFonts w:ascii="Verdana" w:eastAsia="Times New Roman" w:hAnsi="Verdana" w:cs="Times New Roman"/>
          <w:sz w:val="24"/>
          <w:szCs w:val="24"/>
        </w:rPr>
        <w:t>региона позволяет увеличить ежегодный экспорт более чем на $70 млрд.</w:t>
      </w:r>
    </w:p>
    <w:p w:rsidR="007B3429" w:rsidRPr="007B3429" w:rsidRDefault="007B3429" w:rsidP="007B3429">
      <w:pPr>
        <w:numPr>
          <w:ilvl w:val="0"/>
          <w:numId w:val="1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>Импортозамещение</w:t>
      </w:r>
      <w:proofErr w:type="spellEnd"/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>: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 возможна локализация импорта с экономическим эффектом свыше $80 млрд в год.</w:t>
      </w:r>
    </w:p>
    <w:p w:rsidR="007B3429" w:rsidRPr="007B3429" w:rsidRDefault="007B3429" w:rsidP="007B3429">
      <w:pPr>
        <w:numPr>
          <w:ilvl w:val="0"/>
          <w:numId w:val="1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>Совокупный эффект: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 реализация экспортного и импортозамещающего потенциала (</w:t>
      </w:r>
      <w:r w:rsidRPr="007B3429">
        <w:rPr>
          <w:rFonts w:ascii="Verdana" w:eastAsia="Times New Roman" w:hAnsi="Verdana" w:cs="Times New Roman"/>
          <w:i/>
          <w:szCs w:val="24"/>
        </w:rPr>
        <w:t>с учетом смежных отраслей</w:t>
      </w:r>
      <w:r w:rsidRPr="007B3429">
        <w:rPr>
          <w:rFonts w:ascii="Verdana" w:eastAsia="Times New Roman" w:hAnsi="Verdana" w:cs="Times New Roman"/>
          <w:sz w:val="24"/>
          <w:szCs w:val="24"/>
        </w:rPr>
        <w:t>) может дать более $510 млрд дополнительного выпуска ежегодно.</w:t>
      </w:r>
    </w:p>
    <w:p w:rsidR="007B3429" w:rsidRDefault="007B3429" w:rsidP="007B3429">
      <w:pPr>
        <w:numPr>
          <w:ilvl w:val="0"/>
          <w:numId w:val="1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>Приоритетные отрасли: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 химическая промышленность (</w:t>
      </w:r>
      <w:r w:rsidRPr="007B3429">
        <w:rPr>
          <w:rFonts w:ascii="Verdana" w:eastAsia="Times New Roman" w:hAnsi="Verdana" w:cs="Times New Roman"/>
          <w:i/>
          <w:szCs w:val="24"/>
        </w:rPr>
        <w:t>включая фармацевтику</w:t>
      </w:r>
      <w:r w:rsidRPr="007B3429">
        <w:rPr>
          <w:rFonts w:ascii="Verdana" w:eastAsia="Times New Roman" w:hAnsi="Verdana" w:cs="Times New Roman"/>
          <w:sz w:val="24"/>
          <w:szCs w:val="24"/>
        </w:rPr>
        <w:t>), машиностроение, металлургия и пищевая индустрия – сектора с наибольшим потенциалом роста и мультипликативным эффектом.</w:t>
      </w:r>
    </w:p>
    <w:p w:rsidR="00480C3B" w:rsidRDefault="007B3429" w:rsidP="007B3429">
      <w:pPr>
        <w:spacing w:before="120" w:after="12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7B3429">
        <w:rPr>
          <w:rFonts w:ascii="Verdana" w:eastAsia="Times New Roman" w:hAnsi="Verdana" w:cs="Times New Roman"/>
          <w:sz w:val="24"/>
          <w:szCs w:val="24"/>
        </w:rPr>
        <w:t>На протяжении десятилетий экономики Евразийского региона (</w:t>
      </w:r>
      <w:r w:rsidRPr="007B3429">
        <w:rPr>
          <w:rFonts w:ascii="Verdana" w:eastAsia="Times New Roman" w:hAnsi="Verdana" w:cs="Times New Roman"/>
          <w:i/>
          <w:szCs w:val="24"/>
        </w:rPr>
        <w:t>Армения, Беларусь, Казахстан, Кыргызстан, Россия, Таджикистан, Узбекистан</w:t>
      </w:r>
      <w:r w:rsidRPr="007B3429">
        <w:rPr>
          <w:rFonts w:ascii="Verdana" w:eastAsia="Times New Roman" w:hAnsi="Verdana" w:cs="Times New Roman"/>
          <w:sz w:val="24"/>
          <w:szCs w:val="24"/>
        </w:rPr>
        <w:t>) развивались преимущественно за счет добычи и экспорта сырья. Такой уклад обеспечивал приток валюты, но делал страны уязвимыми: значительная часть продукции с высокой добавленной стоимостью ввозилась, а промышленность оставалась технологически неоднородной и ориентированной на ми</w:t>
      </w:r>
      <w:r w:rsidR="00480C3B">
        <w:rPr>
          <w:rFonts w:ascii="Verdana" w:eastAsia="Times New Roman" w:hAnsi="Verdana" w:cs="Times New Roman"/>
          <w:sz w:val="24"/>
          <w:szCs w:val="24"/>
        </w:rPr>
        <w:t>нимальную переработку ресурсов.</w:t>
      </w:r>
    </w:p>
    <w:p w:rsidR="007B3429" w:rsidRPr="007B3429" w:rsidRDefault="007B3429" w:rsidP="007B3429">
      <w:pPr>
        <w:spacing w:before="120" w:after="12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0A304D">
        <w:rPr>
          <w:rFonts w:ascii="Verdana" w:eastAsia="Times New Roman" w:hAnsi="Verdana" w:cs="Times New Roman"/>
          <w:bCs/>
          <w:sz w:val="24"/>
          <w:szCs w:val="24"/>
        </w:rPr>
        <w:t>Международный опыт</w:t>
      </w:r>
      <w:r w:rsidRPr="000A304D">
        <w:rPr>
          <w:rFonts w:ascii="Verdana" w:eastAsia="Times New Roman" w:hAnsi="Verdana" w:cs="Times New Roman"/>
          <w:sz w:val="24"/>
          <w:szCs w:val="24"/>
        </w:rPr>
        <w:t xml:space="preserve"> показывает, что преодолеть ограничения сырьевой модели можно через диверсификацию промышленности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 и </w:t>
      </w:r>
      <w:r w:rsidRPr="000A304D">
        <w:rPr>
          <w:rFonts w:ascii="Verdana" w:eastAsia="Times New Roman" w:hAnsi="Verdana" w:cs="Times New Roman"/>
          <w:b/>
          <w:sz w:val="24"/>
          <w:szCs w:val="24"/>
        </w:rPr>
        <w:t>движение вверх по технологическим переделам</w:t>
      </w:r>
      <w:r w:rsidRPr="007B3429">
        <w:rPr>
          <w:rFonts w:ascii="Verdana" w:eastAsia="Times New Roman" w:hAnsi="Verdana" w:cs="Times New Roman"/>
          <w:sz w:val="24"/>
          <w:szCs w:val="24"/>
        </w:rPr>
        <w:t>. На более высоких стадиях развития возрастают роли наукоемких и высокотехнологичных товаров, а их производство способствует устойчивому долгосрочному росту. Развитие отраслей глубоко</w:t>
      </w:r>
      <w:r w:rsidRPr="007B3429">
        <w:rPr>
          <w:rFonts w:ascii="Verdana" w:eastAsia="Times New Roman" w:hAnsi="Verdana" w:cs="Times New Roman"/>
          <w:sz w:val="24"/>
          <w:szCs w:val="24"/>
          <w:lang w:val="en-US"/>
        </w:rPr>
        <w:t>й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 переработки формирует новые сектора экономики, снижает экологическую нагрузку и повышает технологическую устойчивость. В условиях глобальных трансформаций именно </w:t>
      </w:r>
      <w:r w:rsidRPr="007B3429">
        <w:rPr>
          <w:rFonts w:ascii="Verdana" w:eastAsia="Times New Roman" w:hAnsi="Verdana" w:cs="Times New Roman"/>
          <w:sz w:val="24"/>
          <w:szCs w:val="24"/>
        </w:rPr>
        <w:lastRenderedPageBreak/>
        <w:t xml:space="preserve">высокотехнологичная промышленность определяет </w:t>
      </w:r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>устойчивость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 и </w:t>
      </w:r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>инновационную конкурентоспособность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 стран.</w:t>
      </w:r>
    </w:p>
    <w:p w:rsidR="000A304D" w:rsidRPr="007B3429" w:rsidRDefault="000A304D" w:rsidP="000A304D">
      <w:pPr>
        <w:spacing w:before="120" w:after="12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7B3429">
        <w:rPr>
          <w:rFonts w:ascii="Verdana" w:eastAsia="Times New Roman" w:hAnsi="Verdana" w:cs="Times New Roman"/>
          <w:sz w:val="24"/>
          <w:szCs w:val="24"/>
        </w:rPr>
        <w:t xml:space="preserve">Для реализации промышленного потенциала докладом предлагается активная </w:t>
      </w:r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>индустриальная политика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, нацеленная на диверсификацию экономики и развитие производств высокой степени переработки. Важный принцип – сочетать усилия по </w:t>
      </w:r>
      <w:proofErr w:type="spellStart"/>
      <w:r w:rsidRPr="007B3429">
        <w:rPr>
          <w:rFonts w:ascii="Verdana" w:eastAsia="Times New Roman" w:hAnsi="Verdana" w:cs="Times New Roman"/>
          <w:sz w:val="24"/>
          <w:szCs w:val="24"/>
        </w:rPr>
        <w:t>импортозамещению</w:t>
      </w:r>
      <w:proofErr w:type="spellEnd"/>
      <w:r w:rsidRPr="007B3429">
        <w:rPr>
          <w:rFonts w:ascii="Verdana" w:eastAsia="Times New Roman" w:hAnsi="Verdana" w:cs="Times New Roman"/>
          <w:sz w:val="24"/>
          <w:szCs w:val="24"/>
        </w:rPr>
        <w:t xml:space="preserve"> с наращиванием экспортного потенциала. Такой сбалансированный подход позволит одновременно снизить уязвимость перед внешними шоками и занять ниши в высокодоходных сегментах мирового рынка.</w:t>
      </w:r>
    </w:p>
    <w:p w:rsidR="000A304D" w:rsidRPr="007B3429" w:rsidRDefault="000A304D" w:rsidP="000A304D">
      <w:pPr>
        <w:spacing w:before="120" w:after="12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7B3429">
        <w:rPr>
          <w:rFonts w:ascii="Verdana" w:eastAsia="Times New Roman" w:hAnsi="Verdana" w:cs="Times New Roman"/>
          <w:sz w:val="24"/>
          <w:szCs w:val="24"/>
        </w:rPr>
        <w:t>Сeктo</w:t>
      </w:r>
      <w:r>
        <w:rPr>
          <w:rFonts w:ascii="Verdana" w:eastAsia="Times New Roman" w:hAnsi="Verdana" w:cs="Times New Roman"/>
          <w:sz w:val="24"/>
          <w:szCs w:val="24"/>
        </w:rPr>
        <w:t>р</w:t>
      </w:r>
      <w:r w:rsidRPr="007B3429">
        <w:rPr>
          <w:rFonts w:ascii="Verdana" w:eastAsia="Times New Roman" w:hAnsi="Verdana" w:cs="Times New Roman"/>
          <w:sz w:val="24"/>
          <w:szCs w:val="24"/>
        </w:rPr>
        <w:t>альный</w:t>
      </w:r>
      <w:proofErr w:type="spellEnd"/>
      <w:r w:rsidRPr="007B3429">
        <w:rPr>
          <w:rFonts w:ascii="Verdana" w:eastAsia="Times New Roman" w:hAnsi="Verdana" w:cs="Times New Roman"/>
          <w:sz w:val="24"/>
          <w:szCs w:val="24"/>
        </w:rPr>
        <w:t xml:space="preserve"> фокус развития рекомендуется сосредоточить на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секторах с максимальным </w:t>
      </w:r>
      <w:r w:rsidR="00654099">
        <w:rPr>
          <w:rFonts w:ascii="Verdana" w:eastAsia="Times New Roman" w:hAnsi="Verdana" w:cs="Times New Roman"/>
          <w:b/>
          <w:bCs/>
          <w:sz w:val="24"/>
          <w:szCs w:val="24"/>
        </w:rPr>
        <w:t xml:space="preserve">мультипликативным и интеграционным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эффектом</w:t>
      </w:r>
      <w:r w:rsidRPr="007B3429">
        <w:rPr>
          <w:rFonts w:ascii="Verdana" w:eastAsia="Times New Roman" w:hAnsi="Verdana" w:cs="Times New Roman"/>
          <w:sz w:val="24"/>
          <w:szCs w:val="24"/>
        </w:rPr>
        <w:t>: химической промышленности (</w:t>
      </w:r>
      <w:r w:rsidRPr="007B3429">
        <w:rPr>
          <w:rFonts w:ascii="Verdana" w:eastAsia="Times New Roman" w:hAnsi="Verdana" w:cs="Times New Roman"/>
          <w:i/>
          <w:szCs w:val="24"/>
        </w:rPr>
        <w:t>включая фармацевтику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), машиностроении, металлургии и пищевой индустрии. Именно эти сектора обладают наибольшим потенциалом роста и способны обеспечить значительный мультипликативный эффект для экономики. Одновременно каждой стране целесообразно развивать </w:t>
      </w:r>
      <w:proofErr w:type="spellStart"/>
      <w:r w:rsidRPr="007B3429">
        <w:rPr>
          <w:rFonts w:ascii="Verdana" w:eastAsia="Times New Roman" w:hAnsi="Verdana" w:cs="Times New Roman"/>
          <w:sz w:val="24"/>
          <w:szCs w:val="24"/>
        </w:rPr>
        <w:t>нишевые</w:t>
      </w:r>
      <w:proofErr w:type="spellEnd"/>
      <w:r w:rsidRPr="007B3429">
        <w:rPr>
          <w:rFonts w:ascii="Verdana" w:eastAsia="Times New Roman" w:hAnsi="Verdana" w:cs="Times New Roman"/>
          <w:sz w:val="24"/>
          <w:szCs w:val="24"/>
        </w:rPr>
        <w:t xml:space="preserve"> сегменты «второй передел» (</w:t>
      </w:r>
      <w:r w:rsidRPr="007B3429">
        <w:rPr>
          <w:rFonts w:ascii="Verdana" w:eastAsia="Times New Roman" w:hAnsi="Verdana" w:cs="Times New Roman"/>
          <w:i/>
          <w:szCs w:val="24"/>
        </w:rPr>
        <w:t>глубокой переработки</w:t>
      </w:r>
      <w:r w:rsidRPr="007B3429">
        <w:rPr>
          <w:rFonts w:ascii="Verdana" w:eastAsia="Times New Roman" w:hAnsi="Verdana" w:cs="Times New Roman"/>
          <w:sz w:val="24"/>
          <w:szCs w:val="24"/>
        </w:rPr>
        <w:t>), чтобы формировать собственные точки роста, опираясь на локальные преимущества. Отдельная задача – локализация производства критически важных компонентов и материалов. Снижение зависимости от импортных комплектующих укрепит экономическую безопасность и создаст основу для дальнейшей экспансии на внешние рынки.</w:t>
      </w:r>
    </w:p>
    <w:p w:rsidR="000A304D" w:rsidRPr="007B3429" w:rsidRDefault="000A304D" w:rsidP="000A304D">
      <w:pPr>
        <w:spacing w:before="120" w:after="12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7B3429">
        <w:rPr>
          <w:rFonts w:ascii="Verdana" w:eastAsia="Times New Roman" w:hAnsi="Verdana" w:cs="Times New Roman"/>
          <w:sz w:val="24"/>
          <w:szCs w:val="24"/>
        </w:rPr>
        <w:t xml:space="preserve">С точки зрения технологий, долгосрочные приоритеты индустриализации связаны с </w:t>
      </w:r>
      <w:proofErr w:type="spellStart"/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>цифровизацией</w:t>
      </w:r>
      <w:proofErr w:type="spellEnd"/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 xml:space="preserve"> и автоматизацией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 производств на базе концепций Индустрии 4.0 – внедрение искусственного интеллекта, роботизации, Интернета вещей и цифровых двойников. Параллельно рекомендуется стимулировать развитие биотехнологий, фармацевтики и индустрии новых материалов (</w:t>
      </w:r>
      <w:proofErr w:type="spellStart"/>
      <w:r w:rsidRPr="007B3429">
        <w:rPr>
          <w:rFonts w:ascii="Verdana" w:eastAsia="Times New Roman" w:hAnsi="Verdana" w:cs="Times New Roman"/>
          <w:i/>
          <w:szCs w:val="24"/>
        </w:rPr>
        <w:t>наноматериалы</w:t>
      </w:r>
      <w:proofErr w:type="spellEnd"/>
      <w:r w:rsidRPr="007B3429">
        <w:rPr>
          <w:rFonts w:ascii="Verdana" w:eastAsia="Times New Roman" w:hAnsi="Verdana" w:cs="Times New Roman"/>
          <w:i/>
          <w:szCs w:val="24"/>
        </w:rPr>
        <w:t>, композиты</w:t>
      </w:r>
      <w:r w:rsidRPr="007B3429">
        <w:rPr>
          <w:rFonts w:ascii="Verdana" w:eastAsia="Times New Roman" w:hAnsi="Verdana" w:cs="Times New Roman"/>
          <w:sz w:val="24"/>
          <w:szCs w:val="24"/>
        </w:rPr>
        <w:t>), а также повсеместно внедрять принципы экологической устойчивости и циркулярной экономики. Эти меры позволят повысить технологическую сложность выпускаемой продукции и обеспечить интеграцию Евразийского региона в глобальные инновационные процессы, что особенно важно для достижения целей устойчивого развития.</w:t>
      </w:r>
    </w:p>
    <w:p w:rsidR="000A304D" w:rsidRDefault="000A304D" w:rsidP="000A304D">
      <w:pPr>
        <w:spacing w:before="120" w:after="12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7B3429">
        <w:rPr>
          <w:rFonts w:ascii="Verdana" w:eastAsia="Times New Roman" w:hAnsi="Verdana" w:cs="Times New Roman"/>
          <w:sz w:val="24"/>
          <w:szCs w:val="24"/>
        </w:rPr>
        <w:t xml:space="preserve">Эффективная реализация предлагаемых мер потребует </w:t>
      </w:r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 xml:space="preserve">партнерства государства, бизнеса и </w:t>
      </w:r>
      <w:proofErr w:type="gramStart"/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>науки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 для согласования приоритетов</w:t>
      </w:r>
      <w:proofErr w:type="gramEnd"/>
      <w:r w:rsidRPr="007B3429">
        <w:rPr>
          <w:rFonts w:ascii="Verdana" w:eastAsia="Times New Roman" w:hAnsi="Verdana" w:cs="Times New Roman"/>
          <w:sz w:val="24"/>
          <w:szCs w:val="24"/>
        </w:rPr>
        <w:t xml:space="preserve"> и ускорения трансфера технологий. Необходимо совершенствовать систему управления промышленной политикой: внедрять прозрачные индикаторы и KPI, регулярно </w:t>
      </w:r>
      <w:proofErr w:type="spellStart"/>
      <w:r w:rsidRPr="007B3429">
        <w:rPr>
          <w:rFonts w:ascii="Verdana" w:eastAsia="Times New Roman" w:hAnsi="Verdana" w:cs="Times New Roman"/>
          <w:sz w:val="24"/>
          <w:szCs w:val="24"/>
        </w:rPr>
        <w:t>мониторить</w:t>
      </w:r>
      <w:proofErr w:type="spellEnd"/>
      <w:r w:rsidRPr="007B3429">
        <w:rPr>
          <w:rFonts w:ascii="Verdana" w:eastAsia="Times New Roman" w:hAnsi="Verdana" w:cs="Times New Roman"/>
          <w:sz w:val="24"/>
          <w:szCs w:val="24"/>
        </w:rPr>
        <w:t xml:space="preserve"> результаты и по мере необходимости корректировать меры поддержки. Параллельно следует инвестировать в </w:t>
      </w:r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>человеческий капитал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 – модернизировать образовательные программы, развивать инженерные и управленческие компетенции, стимулировать академическую мобильность кадров. Завершает комплекс задач улучшение институциональной среды и инвестиционного климата, призванное облегчить реализацию новых проектов.</w:t>
      </w:r>
    </w:p>
    <w:p w:rsidR="00467F18" w:rsidRDefault="00467F18" w:rsidP="00467F18">
      <w:pPr>
        <w:spacing w:before="120" w:after="12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7B3429">
        <w:rPr>
          <w:rFonts w:ascii="Verdana" w:eastAsia="Times New Roman" w:hAnsi="Verdana" w:cs="Times New Roman"/>
          <w:sz w:val="24"/>
          <w:szCs w:val="24"/>
        </w:rPr>
        <w:lastRenderedPageBreak/>
        <w:t>Все перечисленные инициативы взаимосвязаны и требуют комплексного воплощения.</w:t>
      </w:r>
      <w:r>
        <w:rPr>
          <w:rFonts w:ascii="Verdana" w:eastAsia="Times New Roman" w:hAnsi="Verdana" w:cs="Times New Roman"/>
          <w:sz w:val="24"/>
          <w:szCs w:val="24"/>
        </w:rPr>
        <w:t xml:space="preserve"> Их реализация позволит раскрыть имеющийся </w:t>
      </w:r>
      <w:r w:rsidRPr="007B3429">
        <w:rPr>
          <w:rFonts w:ascii="Verdana" w:eastAsia="Times New Roman" w:hAnsi="Verdana" w:cs="Times New Roman"/>
          <w:sz w:val="24"/>
          <w:szCs w:val="24"/>
        </w:rPr>
        <w:t>промышленный потенциал региона</w:t>
      </w:r>
      <w:r>
        <w:rPr>
          <w:rFonts w:ascii="Verdana" w:eastAsia="Times New Roman" w:hAnsi="Verdana" w:cs="Times New Roman"/>
          <w:sz w:val="24"/>
          <w:szCs w:val="24"/>
        </w:rPr>
        <w:t>.</w:t>
      </w:r>
      <w:r>
        <w:rPr>
          <w:rFonts w:ascii="Verdana" w:eastAsia="Times New Roman" w:hAnsi="Verdana" w:cs="Times New Roman"/>
          <w:b/>
          <w:sz w:val="24"/>
          <w:szCs w:val="24"/>
        </w:rPr>
        <w:t xml:space="preserve"> Н</w:t>
      </w:r>
      <w:r w:rsidRPr="007B3429">
        <w:rPr>
          <w:rFonts w:ascii="Verdana" w:eastAsia="Times New Roman" w:hAnsi="Verdana" w:cs="Times New Roman"/>
          <w:b/>
          <w:sz w:val="24"/>
          <w:szCs w:val="24"/>
        </w:rPr>
        <w:t xml:space="preserve">аращивание </w:t>
      </w:r>
      <w:proofErr w:type="spellStart"/>
      <w:r w:rsidRPr="007B3429">
        <w:rPr>
          <w:rFonts w:ascii="Verdana" w:eastAsia="Times New Roman" w:hAnsi="Verdana" w:cs="Times New Roman"/>
          <w:b/>
          <w:sz w:val="24"/>
          <w:szCs w:val="24"/>
        </w:rPr>
        <w:t>несырьевого</w:t>
      </w:r>
      <w:proofErr w:type="spellEnd"/>
      <w:r w:rsidRPr="007B3429">
        <w:rPr>
          <w:rFonts w:ascii="Verdana" w:eastAsia="Times New Roman" w:hAnsi="Verdana" w:cs="Times New Roman"/>
          <w:b/>
          <w:sz w:val="24"/>
          <w:szCs w:val="24"/>
        </w:rPr>
        <w:t xml:space="preserve"> экспорта</w:t>
      </w:r>
      <w:r>
        <w:rPr>
          <w:rFonts w:ascii="Verdana" w:eastAsia="Times New Roman" w:hAnsi="Verdana" w:cs="Times New Roman"/>
          <w:b/>
          <w:sz w:val="24"/>
          <w:szCs w:val="24"/>
          <w:lang w:val="en-US"/>
        </w:rPr>
        <w:t xml:space="preserve"> </w:t>
      </w:r>
      <w:r>
        <w:rPr>
          <w:rFonts w:ascii="Verdana" w:eastAsia="Times New Roman" w:hAnsi="Verdana" w:cs="Times New Roman"/>
          <w:b/>
          <w:sz w:val="24"/>
          <w:szCs w:val="24"/>
        </w:rPr>
        <w:t xml:space="preserve">оценивается в более </w:t>
      </w:r>
      <w:r>
        <w:rPr>
          <w:rFonts w:ascii="Verdana" w:eastAsia="Times New Roman" w:hAnsi="Verdana" w:cs="Times New Roman"/>
          <w:b/>
          <w:sz w:val="24"/>
          <w:szCs w:val="24"/>
          <w:lang w:val="en-US"/>
        </w:rPr>
        <w:t xml:space="preserve">70 </w:t>
      </w:r>
      <w:proofErr w:type="spellStart"/>
      <w:r>
        <w:rPr>
          <w:rFonts w:ascii="Verdana" w:eastAsia="Times New Roman" w:hAnsi="Verdana" w:cs="Times New Roman"/>
          <w:b/>
          <w:sz w:val="24"/>
          <w:szCs w:val="24"/>
          <w:lang w:val="en-US"/>
        </w:rPr>
        <w:t>млрд</w:t>
      </w:r>
      <w:proofErr w:type="spellEnd"/>
      <w:r>
        <w:rPr>
          <w:rFonts w:ascii="Verdana" w:eastAsia="Times New Roman" w:hAnsi="Verdana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sz w:val="24"/>
          <w:szCs w:val="24"/>
          <w:lang w:val="en-US"/>
        </w:rPr>
        <w:t>долл</w:t>
      </w:r>
      <w:proofErr w:type="spellEnd"/>
      <w:r>
        <w:rPr>
          <w:rFonts w:ascii="Verdana" w:eastAsia="Times New Roman" w:hAnsi="Verdana" w:cs="Times New Roman"/>
          <w:b/>
          <w:sz w:val="24"/>
          <w:szCs w:val="24"/>
          <w:lang w:val="en-US"/>
        </w:rPr>
        <w:t>.</w:t>
      </w:r>
      <w:r>
        <w:rPr>
          <w:rFonts w:ascii="Verdana" w:eastAsia="Times New Roman" w:hAnsi="Verdana" w:cs="Times New Roman"/>
          <w:b/>
          <w:sz w:val="24"/>
          <w:szCs w:val="24"/>
        </w:rPr>
        <w:t xml:space="preserve"> в год.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 Наибольший относительный прирост возможен в меньших экономиках – Кыргызстане, Узбекистане и Армении (</w:t>
      </w:r>
      <w:r w:rsidRPr="007B3429">
        <w:rPr>
          <w:rFonts w:ascii="Verdana" w:eastAsia="Times New Roman" w:hAnsi="Verdana" w:cs="Times New Roman"/>
          <w:i/>
          <w:szCs w:val="24"/>
        </w:rPr>
        <w:t>экспорт может вырасти на четверть и более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), тогда как в России, Беларуси, Казахстане и Таджикистане ожидается увеличение на 12–17%. </w:t>
      </w:r>
      <w:proofErr w:type="spellStart"/>
      <w:r w:rsidRPr="007B3429">
        <w:rPr>
          <w:rFonts w:ascii="Verdana" w:eastAsia="Times New Roman" w:hAnsi="Verdana" w:cs="Times New Roman"/>
          <w:b/>
          <w:sz w:val="24"/>
          <w:szCs w:val="24"/>
        </w:rPr>
        <w:t>Импортозамещение</w:t>
      </w:r>
      <w:proofErr w:type="spellEnd"/>
      <w:r w:rsidRPr="007B3429">
        <w:rPr>
          <w:rFonts w:ascii="Verdana" w:eastAsia="Times New Roman" w:hAnsi="Verdana" w:cs="Times New Roman"/>
          <w:sz w:val="24"/>
          <w:szCs w:val="24"/>
        </w:rPr>
        <w:t xml:space="preserve"> рассматривается как сопоставимый резерв роста: по оценкам ЕАБР, замещение зарубежных товаров собственным производством дает эффект свыше $80 млрд ежегодно. В целом страны региона способны заместить от 11% до 23% импорта, в том числе за счет локализации производства оборудования и комплектующих. Такие меры не только снижают внешнюю уязвимость и укрепляют промышленную базу, но и стимулируют </w:t>
      </w:r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>технологическую модернизацию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 экономики.</w:t>
      </w:r>
    </w:p>
    <w:p w:rsidR="000A304D" w:rsidRPr="007B3429" w:rsidRDefault="000A304D" w:rsidP="000A304D">
      <w:pPr>
        <w:pStyle w:val="HeadTable"/>
        <w:spacing w:before="0"/>
        <w:jc w:val="both"/>
        <w:rPr>
          <w:rFonts w:ascii="Verdana" w:hAnsi="Verdana"/>
          <w:szCs w:val="22"/>
        </w:rPr>
      </w:pPr>
      <w:r w:rsidRPr="007B3429">
        <w:rPr>
          <w:rFonts w:ascii="Verdana" w:hAnsi="Verdana"/>
          <w:szCs w:val="22"/>
        </w:rPr>
        <w:t>Сводная оценка реализации развития потенциала промышленности Евразийского региона</w:t>
      </w:r>
    </w:p>
    <w:p w:rsidR="000A304D" w:rsidRPr="007B3429" w:rsidRDefault="000A304D" w:rsidP="000A304D">
      <w:pPr>
        <w:pStyle w:val="HeadTable"/>
        <w:spacing w:before="0"/>
        <w:jc w:val="both"/>
        <w:rPr>
          <w:rFonts w:ascii="Verdana" w:hAnsi="Verdana"/>
          <w:sz w:val="22"/>
          <w:szCs w:val="22"/>
        </w:rPr>
      </w:pPr>
      <w:r w:rsidRPr="007B3429">
        <w:rPr>
          <w:noProof/>
          <w:sz w:val="22"/>
          <w:szCs w:val="22"/>
          <w:lang w:val="en-US"/>
        </w:rPr>
        <w:drawing>
          <wp:inline distT="0" distB="0" distL="0" distR="0" wp14:anchorId="236DFF66" wp14:editId="4DEBB7A8">
            <wp:extent cx="6219262" cy="3704471"/>
            <wp:effectExtent l="0" t="0" r="0" b="0"/>
            <wp:docPr id="2" name="Рисунок 2" descr="N:\Дирекция по аналитической работе\Проекты\2025 Промышленность высоких переделов\Текст\Доклад 1\One pager\потенциаль развития промышленности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Дирекция по аналитической работе\Проекты\2025 Промышленность высоких переделов\Текст\Доклад 1\One pager\потенциаль развития промышленности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689" cy="37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429">
        <w:rPr>
          <w:rFonts w:ascii="Verdana" w:hAnsi="Verdana"/>
          <w:sz w:val="22"/>
          <w:szCs w:val="22"/>
        </w:rPr>
        <w:t xml:space="preserve"> Источник: </w:t>
      </w:r>
      <w:r w:rsidRPr="007B3429">
        <w:rPr>
          <w:rFonts w:ascii="Verdana" w:hAnsi="Verdana"/>
          <w:b w:val="0"/>
          <w:sz w:val="22"/>
          <w:szCs w:val="22"/>
        </w:rPr>
        <w:t>расчеты ЕАБР.</w:t>
      </w:r>
    </w:p>
    <w:p w:rsidR="007B3429" w:rsidRDefault="007B3429" w:rsidP="007B3429">
      <w:pPr>
        <w:spacing w:before="120" w:after="12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>Совокупный экономический эффект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 от реализации экспортного потенциала и программ </w:t>
      </w:r>
      <w:proofErr w:type="spellStart"/>
      <w:r w:rsidRPr="007B3429">
        <w:rPr>
          <w:rFonts w:ascii="Verdana" w:eastAsia="Times New Roman" w:hAnsi="Verdana" w:cs="Times New Roman"/>
          <w:sz w:val="24"/>
          <w:szCs w:val="24"/>
        </w:rPr>
        <w:t>импортозамещения</w:t>
      </w:r>
      <w:proofErr w:type="spellEnd"/>
      <w:r w:rsidRPr="007B3429">
        <w:rPr>
          <w:rFonts w:ascii="Verdana" w:eastAsia="Times New Roman" w:hAnsi="Verdana" w:cs="Times New Roman"/>
          <w:sz w:val="24"/>
          <w:szCs w:val="24"/>
        </w:rPr>
        <w:t xml:space="preserve">, с учетом роста смежных отраслей, оценивается ЕАБР </w:t>
      </w:r>
      <w:r w:rsidRPr="007B3429">
        <w:rPr>
          <w:rFonts w:ascii="Verdana" w:eastAsia="Times New Roman" w:hAnsi="Verdana" w:cs="Times New Roman"/>
          <w:b/>
          <w:sz w:val="24"/>
          <w:szCs w:val="24"/>
        </w:rPr>
        <w:t>более чем в $510 млрд в год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. Этот прирост охватывает как поставки на внешние рынки, так и удовлетворение внутреннего спроса, стимулируя развитие смежных индустрий – энергетики, транспорта, торговли, сельского хозяйства, химического и металлургического производства. По сути, речь идет о формировании в </w:t>
      </w:r>
      <w:r w:rsidRPr="007B3429">
        <w:rPr>
          <w:rFonts w:ascii="Verdana" w:eastAsia="Times New Roman" w:hAnsi="Verdana" w:cs="Times New Roman"/>
          <w:sz w:val="24"/>
          <w:szCs w:val="24"/>
        </w:rPr>
        <w:lastRenderedPageBreak/>
        <w:t>Евразии новой промышленной экосистемы, способной генерировать колоссальную добавленную стоимость внутри региона.</w:t>
      </w:r>
    </w:p>
    <w:p w:rsidR="000A304D" w:rsidRDefault="000A304D" w:rsidP="000A304D">
      <w:pPr>
        <w:spacing w:before="120" w:after="12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7B3429">
        <w:rPr>
          <w:rFonts w:ascii="Verdana" w:eastAsia="Times New Roman" w:hAnsi="Verdana" w:cs="Times New Roman"/>
          <w:sz w:val="24"/>
          <w:szCs w:val="24"/>
        </w:rPr>
        <w:t xml:space="preserve">Рекомендации ЕАБР, основанные на анализе сильных и слабых сторон региона, призваны помочь странам Евразии перейти к более сложной промышленной структуре. Ключевая цель – выстроить современную промышленную систему, способную перерабатывать сырье </w:t>
      </w:r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>внутри региона</w:t>
      </w:r>
      <w:r w:rsidRPr="007B3429">
        <w:rPr>
          <w:rFonts w:ascii="Verdana" w:eastAsia="Times New Roman" w:hAnsi="Verdana" w:cs="Times New Roman"/>
          <w:sz w:val="24"/>
          <w:szCs w:val="24"/>
        </w:rPr>
        <w:t xml:space="preserve">, создавать рабочие места и выпускать технологически сложную продукцию. Природно-ресурсные преимущества Евразии дают уникальный шанс осуществить индустриализацию нового типа – ориентированную на </w:t>
      </w:r>
      <w:r w:rsidRPr="007B3429">
        <w:rPr>
          <w:rFonts w:ascii="Verdana" w:eastAsia="Times New Roman" w:hAnsi="Verdana" w:cs="Times New Roman"/>
          <w:b/>
          <w:bCs/>
          <w:sz w:val="24"/>
          <w:szCs w:val="24"/>
        </w:rPr>
        <w:t>добавленную стоимость, устойчивое развитие и технологическое лидерство</w:t>
      </w:r>
      <w:r w:rsidRPr="007B3429">
        <w:rPr>
          <w:rFonts w:ascii="Verdana" w:eastAsia="Times New Roman" w:hAnsi="Verdana" w:cs="Times New Roman"/>
          <w:sz w:val="24"/>
          <w:szCs w:val="24"/>
        </w:rPr>
        <w:t>.</w:t>
      </w:r>
    </w:p>
    <w:p w:rsidR="007B3429" w:rsidRDefault="007B3429" w:rsidP="007B3429">
      <w:pPr>
        <w:spacing w:before="120" w:after="120" w:line="240" w:lineRule="auto"/>
        <w:jc w:val="both"/>
        <w:rPr>
          <w:rFonts w:ascii="Verdana" w:hAnsi="Verdana" w:cs="Arial"/>
          <w:sz w:val="24"/>
          <w:szCs w:val="24"/>
        </w:rPr>
      </w:pPr>
      <w:r w:rsidRPr="00452246">
        <w:rPr>
          <w:rFonts w:ascii="Verdana" w:hAnsi="Verdana" w:cs="Arial"/>
          <w:sz w:val="24"/>
          <w:szCs w:val="24"/>
        </w:rPr>
        <w:t>Подробнее</w:t>
      </w:r>
      <w:r>
        <w:rPr>
          <w:rFonts w:ascii="Verdana" w:hAnsi="Verdana" w:cs="Arial"/>
          <w:sz w:val="24"/>
          <w:szCs w:val="24"/>
        </w:rPr>
        <w:t xml:space="preserve"> </w:t>
      </w:r>
      <w:r w:rsidRPr="00452246">
        <w:rPr>
          <w:rFonts w:ascii="Verdana" w:hAnsi="Verdana" w:cs="Arial"/>
          <w:sz w:val="24"/>
          <w:szCs w:val="24"/>
        </w:rPr>
        <w:t>с</w:t>
      </w:r>
      <w:r>
        <w:rPr>
          <w:rFonts w:ascii="Verdana" w:hAnsi="Verdana" w:cs="Arial"/>
          <w:sz w:val="24"/>
          <w:szCs w:val="24"/>
        </w:rPr>
        <w:t xml:space="preserve"> </w:t>
      </w:r>
      <w:r w:rsidRPr="00452246">
        <w:rPr>
          <w:rFonts w:ascii="Verdana" w:hAnsi="Verdana" w:cs="Arial"/>
          <w:sz w:val="24"/>
          <w:szCs w:val="24"/>
        </w:rPr>
        <w:t>содержанием</w:t>
      </w:r>
      <w:r>
        <w:rPr>
          <w:rFonts w:ascii="Verdana" w:hAnsi="Verdana" w:cs="Arial"/>
          <w:sz w:val="24"/>
          <w:szCs w:val="24"/>
        </w:rPr>
        <w:t xml:space="preserve"> </w:t>
      </w:r>
      <w:r w:rsidRPr="00452246">
        <w:rPr>
          <w:rFonts w:ascii="Verdana" w:hAnsi="Verdana" w:cs="Arial"/>
          <w:sz w:val="24"/>
          <w:szCs w:val="24"/>
        </w:rPr>
        <w:t>доклада</w:t>
      </w:r>
      <w:r>
        <w:rPr>
          <w:rFonts w:ascii="Verdana" w:hAnsi="Verdana" w:cs="Arial"/>
          <w:sz w:val="24"/>
          <w:szCs w:val="24"/>
        </w:rPr>
        <w:t xml:space="preserve"> </w:t>
      </w:r>
      <w:r w:rsidRPr="00452246">
        <w:rPr>
          <w:rFonts w:ascii="Verdana" w:hAnsi="Verdana" w:cs="Arial"/>
          <w:sz w:val="24"/>
          <w:szCs w:val="24"/>
        </w:rPr>
        <w:t>«Потенциал</w:t>
      </w:r>
      <w:r>
        <w:rPr>
          <w:rFonts w:ascii="Verdana" w:hAnsi="Verdana" w:cs="Arial"/>
          <w:sz w:val="24"/>
          <w:szCs w:val="24"/>
        </w:rPr>
        <w:t xml:space="preserve"> </w:t>
      </w:r>
      <w:r w:rsidRPr="00452246">
        <w:rPr>
          <w:rFonts w:ascii="Verdana" w:hAnsi="Verdana" w:cs="Arial"/>
          <w:sz w:val="24"/>
          <w:szCs w:val="24"/>
        </w:rPr>
        <w:t>развития</w:t>
      </w:r>
      <w:r>
        <w:rPr>
          <w:rFonts w:ascii="Verdana" w:hAnsi="Verdana" w:cs="Arial"/>
          <w:sz w:val="24"/>
          <w:szCs w:val="24"/>
        </w:rPr>
        <w:t xml:space="preserve"> </w:t>
      </w:r>
      <w:r w:rsidRPr="00452246">
        <w:rPr>
          <w:rFonts w:ascii="Verdana" w:hAnsi="Verdana" w:cs="Arial"/>
          <w:sz w:val="24"/>
          <w:szCs w:val="24"/>
        </w:rPr>
        <w:t>промышленности</w:t>
      </w:r>
      <w:r>
        <w:rPr>
          <w:rFonts w:ascii="Verdana" w:hAnsi="Verdana" w:cs="Arial"/>
          <w:sz w:val="24"/>
          <w:szCs w:val="24"/>
        </w:rPr>
        <w:t xml:space="preserve"> </w:t>
      </w:r>
      <w:r w:rsidRPr="00452246">
        <w:rPr>
          <w:rFonts w:ascii="Verdana" w:hAnsi="Verdana" w:cs="Arial"/>
          <w:sz w:val="24"/>
          <w:szCs w:val="24"/>
        </w:rPr>
        <w:t>высоких</w:t>
      </w:r>
      <w:r>
        <w:rPr>
          <w:rFonts w:ascii="Verdana" w:hAnsi="Verdana" w:cs="Arial"/>
          <w:sz w:val="24"/>
          <w:szCs w:val="24"/>
        </w:rPr>
        <w:t xml:space="preserve"> </w:t>
      </w:r>
      <w:r w:rsidRPr="00452246">
        <w:rPr>
          <w:rFonts w:ascii="Verdana" w:hAnsi="Verdana" w:cs="Arial"/>
          <w:sz w:val="24"/>
          <w:szCs w:val="24"/>
        </w:rPr>
        <w:t>переделов</w:t>
      </w:r>
      <w:r>
        <w:rPr>
          <w:rFonts w:ascii="Verdana" w:hAnsi="Verdana" w:cs="Arial"/>
          <w:sz w:val="24"/>
          <w:szCs w:val="24"/>
        </w:rPr>
        <w:t xml:space="preserve"> </w:t>
      </w:r>
      <w:r w:rsidRPr="00452246">
        <w:rPr>
          <w:rFonts w:ascii="Verdana" w:hAnsi="Verdana" w:cs="Arial"/>
          <w:sz w:val="24"/>
          <w:szCs w:val="24"/>
        </w:rPr>
        <w:t>в</w:t>
      </w:r>
      <w:r>
        <w:rPr>
          <w:rFonts w:ascii="Verdana" w:hAnsi="Verdana" w:cs="Arial"/>
          <w:sz w:val="24"/>
          <w:szCs w:val="24"/>
        </w:rPr>
        <w:t xml:space="preserve"> </w:t>
      </w:r>
      <w:r w:rsidRPr="00452246">
        <w:rPr>
          <w:rFonts w:ascii="Verdana" w:hAnsi="Verdana" w:cs="Arial"/>
          <w:sz w:val="24"/>
          <w:szCs w:val="24"/>
        </w:rPr>
        <w:t>Евразийском</w:t>
      </w:r>
      <w:r>
        <w:rPr>
          <w:rFonts w:ascii="Verdana" w:hAnsi="Verdana" w:cs="Arial"/>
          <w:sz w:val="24"/>
          <w:szCs w:val="24"/>
        </w:rPr>
        <w:t xml:space="preserve"> </w:t>
      </w:r>
      <w:r w:rsidRPr="00452246">
        <w:rPr>
          <w:rFonts w:ascii="Verdana" w:hAnsi="Verdana" w:cs="Arial"/>
          <w:sz w:val="24"/>
          <w:szCs w:val="24"/>
        </w:rPr>
        <w:t>регионе»</w:t>
      </w:r>
      <w:r>
        <w:rPr>
          <w:rFonts w:ascii="Verdana" w:hAnsi="Verdana" w:cs="Arial"/>
          <w:sz w:val="24"/>
          <w:szCs w:val="24"/>
        </w:rPr>
        <w:t xml:space="preserve"> </w:t>
      </w:r>
      <w:r w:rsidRPr="00452246">
        <w:rPr>
          <w:rFonts w:ascii="Verdana" w:hAnsi="Verdana" w:cs="Arial"/>
          <w:sz w:val="24"/>
          <w:szCs w:val="24"/>
        </w:rPr>
        <w:t>можно</w:t>
      </w:r>
      <w:r>
        <w:rPr>
          <w:rFonts w:ascii="Verdana" w:hAnsi="Verdana" w:cs="Arial"/>
          <w:sz w:val="24"/>
          <w:szCs w:val="24"/>
        </w:rPr>
        <w:t xml:space="preserve"> </w:t>
      </w:r>
      <w:r w:rsidRPr="00452246">
        <w:rPr>
          <w:rFonts w:ascii="Verdana" w:hAnsi="Verdana" w:cs="Arial"/>
          <w:sz w:val="24"/>
          <w:szCs w:val="24"/>
        </w:rPr>
        <w:t>ознакомиться</w:t>
      </w:r>
      <w:r>
        <w:rPr>
          <w:rFonts w:ascii="Verdana" w:hAnsi="Verdana" w:cs="Arial"/>
          <w:sz w:val="24"/>
          <w:szCs w:val="24"/>
        </w:rPr>
        <w:t xml:space="preserve"> </w:t>
      </w:r>
      <w:hyperlink r:id="rId6" w:history="1">
        <w:r w:rsidRPr="00452246">
          <w:rPr>
            <w:rStyle w:val="a6"/>
            <w:rFonts w:ascii="Verdana" w:hAnsi="Verdana" w:cs="Arial"/>
            <w:sz w:val="24"/>
            <w:szCs w:val="24"/>
          </w:rPr>
          <w:t>на</w:t>
        </w:r>
        <w:r>
          <w:rPr>
            <w:rStyle w:val="a6"/>
            <w:rFonts w:ascii="Verdana" w:hAnsi="Verdana" w:cs="Arial"/>
            <w:sz w:val="24"/>
            <w:szCs w:val="24"/>
          </w:rPr>
          <w:t xml:space="preserve"> </w:t>
        </w:r>
        <w:r w:rsidRPr="00452246">
          <w:rPr>
            <w:rStyle w:val="a6"/>
            <w:rFonts w:ascii="Verdana" w:hAnsi="Verdana" w:cs="Arial"/>
            <w:sz w:val="24"/>
            <w:szCs w:val="24"/>
          </w:rPr>
          <w:t>сайте</w:t>
        </w:r>
        <w:r>
          <w:rPr>
            <w:rStyle w:val="a6"/>
            <w:rFonts w:ascii="Verdana" w:hAnsi="Verdana" w:cs="Arial"/>
            <w:sz w:val="24"/>
            <w:szCs w:val="24"/>
          </w:rPr>
          <w:t xml:space="preserve"> </w:t>
        </w:r>
        <w:r w:rsidRPr="00452246">
          <w:rPr>
            <w:rStyle w:val="a6"/>
            <w:rFonts w:ascii="Verdana" w:hAnsi="Verdana" w:cs="Arial"/>
            <w:sz w:val="24"/>
            <w:szCs w:val="24"/>
          </w:rPr>
          <w:t>Банка</w:t>
        </w:r>
      </w:hyperlink>
      <w:r w:rsidRPr="00452246">
        <w:rPr>
          <w:rFonts w:ascii="Verdana" w:hAnsi="Verdana" w:cs="Arial"/>
          <w:sz w:val="24"/>
          <w:szCs w:val="24"/>
        </w:rPr>
        <w:t>.</w:t>
      </w:r>
    </w:p>
    <w:p w:rsidR="007B3429" w:rsidRPr="00452246" w:rsidRDefault="007B3429" w:rsidP="007B3429">
      <w:pPr>
        <w:spacing w:before="120" w:after="120" w:line="240" w:lineRule="auto"/>
        <w:jc w:val="both"/>
        <w:rPr>
          <w:rFonts w:ascii="Verdana" w:hAnsi="Verdana" w:cs="Arial"/>
          <w:sz w:val="24"/>
          <w:szCs w:val="24"/>
        </w:rPr>
      </w:pPr>
    </w:p>
    <w:p w:rsidR="007B3429" w:rsidRDefault="007B3429" w:rsidP="007B342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eastAsiaTheme="minorHAnsi" w:hAnsi="Verdana"/>
          <w:b/>
          <w:bCs/>
          <w:i/>
          <w:iCs/>
          <w:color w:val="000000"/>
          <w:spacing w:val="-2"/>
          <w:sz w:val="22"/>
          <w:szCs w:val="22"/>
        </w:rPr>
      </w:pPr>
      <w:proofErr w:type="spellStart"/>
      <w:r>
        <w:rPr>
          <w:rFonts w:ascii="Verdana" w:hAnsi="Verdana"/>
          <w:b/>
          <w:bCs/>
          <w:i/>
          <w:iCs/>
          <w:color w:val="000000"/>
          <w:spacing w:val="-2"/>
          <w:sz w:val="22"/>
          <w:szCs w:val="22"/>
        </w:rPr>
        <w:t>Справка</w:t>
      </w:r>
      <w:proofErr w:type="spellEnd"/>
      <w:r>
        <w:rPr>
          <w:rFonts w:ascii="Verdana" w:hAnsi="Verdana"/>
          <w:b/>
          <w:bCs/>
          <w:i/>
          <w:iCs/>
          <w:color w:val="000000"/>
          <w:spacing w:val="-2"/>
          <w:sz w:val="22"/>
          <w:szCs w:val="22"/>
        </w:rPr>
        <w:t>:</w:t>
      </w:r>
    </w:p>
    <w:p w:rsidR="007B3429" w:rsidRDefault="007B3429" w:rsidP="007B34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i/>
          <w:iCs/>
          <w:color w:val="000000"/>
          <w:spacing w:val="-2"/>
          <w:sz w:val="22"/>
          <w:szCs w:val="22"/>
        </w:rPr>
      </w:pPr>
      <w:proofErr w:type="spellStart"/>
      <w:r>
        <w:rPr>
          <w:rFonts w:ascii="Verdana" w:hAnsi="Verdana"/>
          <w:b/>
          <w:bCs/>
          <w:i/>
          <w:iCs/>
          <w:color w:val="000000"/>
          <w:spacing w:val="-2"/>
          <w:sz w:val="22"/>
          <w:szCs w:val="22"/>
          <w:bdr w:val="none" w:sz="0" w:space="0" w:color="auto" w:frame="1"/>
        </w:rPr>
        <w:t>Евразийский</w:t>
      </w:r>
      <w:proofErr w:type="spellEnd"/>
      <w:r>
        <w:rPr>
          <w:rFonts w:ascii="Verdana" w:hAnsi="Verdana"/>
          <w:b/>
          <w:bCs/>
          <w:i/>
          <w:iCs/>
          <w:color w:val="000000"/>
          <w:spacing w:val="-2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Verdana" w:hAnsi="Verdana"/>
          <w:b/>
          <w:bCs/>
          <w:i/>
          <w:iCs/>
          <w:color w:val="000000"/>
          <w:spacing w:val="-2"/>
          <w:sz w:val="22"/>
          <w:szCs w:val="22"/>
          <w:bdr w:val="none" w:sz="0" w:space="0" w:color="auto" w:frame="1"/>
        </w:rPr>
        <w:t>банк</w:t>
      </w:r>
      <w:proofErr w:type="spellEnd"/>
      <w:r>
        <w:rPr>
          <w:rFonts w:ascii="Verdana" w:hAnsi="Verdana"/>
          <w:b/>
          <w:bCs/>
          <w:i/>
          <w:iCs/>
          <w:color w:val="000000"/>
          <w:spacing w:val="-2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Verdana" w:hAnsi="Verdana"/>
          <w:b/>
          <w:bCs/>
          <w:i/>
          <w:iCs/>
          <w:color w:val="000000"/>
          <w:spacing w:val="-2"/>
          <w:sz w:val="22"/>
          <w:szCs w:val="22"/>
          <w:bdr w:val="none" w:sz="0" w:space="0" w:color="auto" w:frame="1"/>
        </w:rPr>
        <w:t>развития</w:t>
      </w:r>
      <w:proofErr w:type="spellEnd"/>
      <w:r>
        <w:rPr>
          <w:rFonts w:ascii="Verdana" w:hAnsi="Verdana"/>
          <w:b/>
          <w:bCs/>
          <w:i/>
          <w:iCs/>
          <w:color w:val="000000"/>
          <w:spacing w:val="-2"/>
          <w:sz w:val="22"/>
          <w:szCs w:val="22"/>
          <w:bdr w:val="none" w:sz="0" w:space="0" w:color="auto" w:frame="1"/>
        </w:rPr>
        <w:t xml:space="preserve"> (ЕАБР) —</w:t>
      </w:r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многосторонний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банк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развития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,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осуществляющий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инвестиционную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деятельность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на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евразийском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пространстве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.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Уже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более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19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лет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ЕАБР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содействует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укреплению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и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расширению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экономических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связей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и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всестороннему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развитию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стран-участниц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. К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июлю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2025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года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в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накопленном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портфеле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ЕАБР 319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проектов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с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общим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объемом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инвестиций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на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сумму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19,1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млрд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долл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. США.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Основную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долю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в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портфеле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ЕАБР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занимают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проекты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с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интеграционным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эффектом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в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сферах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транспортной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инфраструктуры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,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цифровых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систем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,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зеленой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энергетики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,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сельского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хозяйства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,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промышленности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и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машиностроения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. В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своей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деятельности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Банк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руководствуется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Целями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в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области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устойчивого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развития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ООН и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принципами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ESG.</w:t>
      </w:r>
    </w:p>
    <w:p w:rsidR="007B3429" w:rsidRDefault="007B3429" w:rsidP="007B3429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Fonts w:ascii="Verdana" w:hAnsi="Verdana"/>
          <w:i/>
          <w:iCs/>
          <w:color w:val="000000"/>
          <w:spacing w:val="-2"/>
          <w:sz w:val="22"/>
          <w:szCs w:val="22"/>
        </w:rPr>
      </w:pPr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ЕАБР в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рамках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Стратегии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2022–2026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реализует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3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мегапроекта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: «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Водно-энергетический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комплекс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Центральной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Азии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», «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Евразийский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транспортный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каркас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», «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Евразийская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товаропроводящая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сеть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».</w:t>
      </w:r>
    </w:p>
    <w:p w:rsidR="007B3429" w:rsidRDefault="007B3429" w:rsidP="007B34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b/>
          <w:bCs/>
          <w:color w:val="000000"/>
          <w:spacing w:val="-2"/>
          <w:sz w:val="22"/>
          <w:szCs w:val="22"/>
        </w:rPr>
      </w:pPr>
      <w:proofErr w:type="spellStart"/>
      <w:r>
        <w:rPr>
          <w:rFonts w:ascii="Verdana" w:hAnsi="Verdana"/>
          <w:b/>
          <w:bCs/>
          <w:color w:val="000000"/>
          <w:spacing w:val="-2"/>
          <w:sz w:val="22"/>
          <w:szCs w:val="22"/>
        </w:rPr>
        <w:t>Контакты</w:t>
      </w:r>
      <w:proofErr w:type="spellEnd"/>
      <w:r>
        <w:rPr>
          <w:rFonts w:ascii="Verdana" w:hAnsi="Verdana"/>
          <w:b/>
          <w:bCs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pacing w:val="-2"/>
          <w:sz w:val="22"/>
          <w:szCs w:val="22"/>
        </w:rPr>
        <w:t>пресс-центра</w:t>
      </w:r>
      <w:proofErr w:type="spellEnd"/>
      <w:r>
        <w:rPr>
          <w:rFonts w:ascii="Verdana" w:hAnsi="Verdana"/>
          <w:b/>
          <w:bCs/>
          <w:color w:val="000000"/>
          <w:spacing w:val="-2"/>
          <w:sz w:val="22"/>
          <w:szCs w:val="22"/>
        </w:rPr>
        <w:t xml:space="preserve"> ЕАБР:</w:t>
      </w:r>
    </w:p>
    <w:p w:rsidR="007B3429" w:rsidRDefault="007B3429" w:rsidP="007B34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i/>
          <w:iCs/>
          <w:color w:val="000000"/>
          <w:spacing w:val="-2"/>
          <w:sz w:val="22"/>
          <w:szCs w:val="22"/>
        </w:rPr>
      </w:pPr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 xml:space="preserve">+7 (727) 244 40 44, </w:t>
      </w:r>
      <w:proofErr w:type="spellStart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доб</w:t>
      </w:r>
      <w:proofErr w:type="spellEnd"/>
      <w:r>
        <w:rPr>
          <w:rFonts w:ascii="Verdana" w:hAnsi="Verdana"/>
          <w:i/>
          <w:iCs/>
          <w:color w:val="000000"/>
          <w:spacing w:val="-2"/>
          <w:sz w:val="22"/>
          <w:szCs w:val="22"/>
        </w:rPr>
        <w:t>. 4774 и 2160</w:t>
      </w:r>
    </w:p>
    <w:p w:rsidR="007B3429" w:rsidRDefault="00654099" w:rsidP="007B34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pacing w:val="-2"/>
          <w:sz w:val="22"/>
          <w:szCs w:val="22"/>
        </w:rPr>
      </w:pPr>
      <w:hyperlink r:id="rId7" w:history="1">
        <w:r w:rsidR="007B3429">
          <w:rPr>
            <w:rStyle w:val="a6"/>
            <w:rFonts w:ascii="Verdana" w:hAnsi="Verdana"/>
            <w:i/>
            <w:iCs/>
            <w:spacing w:val="-2"/>
            <w:sz w:val="22"/>
            <w:szCs w:val="22"/>
            <w:bdr w:val="none" w:sz="0" w:space="0" w:color="auto" w:frame="1"/>
          </w:rPr>
          <w:t>pressa@eabr.org</w:t>
        </w:r>
      </w:hyperlink>
    </w:p>
    <w:p w:rsidR="007B3429" w:rsidRDefault="00654099" w:rsidP="007B34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i/>
          <w:iCs/>
          <w:color w:val="000000"/>
          <w:spacing w:val="-2"/>
          <w:sz w:val="22"/>
          <w:szCs w:val="22"/>
        </w:rPr>
      </w:pPr>
      <w:hyperlink r:id="rId8" w:history="1">
        <w:r w:rsidR="007B3429">
          <w:rPr>
            <w:rStyle w:val="a6"/>
            <w:rFonts w:ascii="Verdana" w:hAnsi="Verdana"/>
            <w:i/>
            <w:iCs/>
            <w:spacing w:val="-2"/>
            <w:sz w:val="22"/>
            <w:szCs w:val="22"/>
            <w:bdr w:val="none" w:sz="0" w:space="0" w:color="auto" w:frame="1"/>
          </w:rPr>
          <w:t>http://eabr.org</w:t>
        </w:r>
      </w:hyperlink>
    </w:p>
    <w:p w:rsidR="003A062D" w:rsidRPr="007B3429" w:rsidRDefault="003A062D" w:rsidP="007B3429">
      <w:pPr>
        <w:spacing w:before="120" w:after="120" w:line="240" w:lineRule="auto"/>
        <w:jc w:val="both"/>
        <w:rPr>
          <w:rFonts w:ascii="Verdana" w:hAnsi="Verdana"/>
          <w:sz w:val="24"/>
          <w:szCs w:val="24"/>
        </w:rPr>
      </w:pPr>
    </w:p>
    <w:sectPr w:rsidR="003A062D" w:rsidRPr="007B34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82203"/>
    <w:multiLevelType w:val="multilevel"/>
    <w:tmpl w:val="2D7A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29"/>
    <w:rsid w:val="00022297"/>
    <w:rsid w:val="000317AF"/>
    <w:rsid w:val="000A304D"/>
    <w:rsid w:val="00217562"/>
    <w:rsid w:val="00223714"/>
    <w:rsid w:val="00225BB9"/>
    <w:rsid w:val="00247F3E"/>
    <w:rsid w:val="00260E3F"/>
    <w:rsid w:val="002D53DB"/>
    <w:rsid w:val="003A062D"/>
    <w:rsid w:val="004526FE"/>
    <w:rsid w:val="00455FFB"/>
    <w:rsid w:val="00467F18"/>
    <w:rsid w:val="00480C3B"/>
    <w:rsid w:val="00530DF9"/>
    <w:rsid w:val="005A186F"/>
    <w:rsid w:val="00601FCF"/>
    <w:rsid w:val="00654099"/>
    <w:rsid w:val="007B3429"/>
    <w:rsid w:val="00916CAE"/>
    <w:rsid w:val="00965F59"/>
    <w:rsid w:val="009776DF"/>
    <w:rsid w:val="00A20BFE"/>
    <w:rsid w:val="00AD0CEC"/>
    <w:rsid w:val="00B17A50"/>
    <w:rsid w:val="00C43975"/>
    <w:rsid w:val="00C756C2"/>
    <w:rsid w:val="00C86FA6"/>
    <w:rsid w:val="00CD369E"/>
    <w:rsid w:val="00E31DD6"/>
    <w:rsid w:val="00E3764B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9ECF7"/>
  <w15:chartTrackingRefBased/>
  <w15:docId w15:val="{EA84061D-A485-4570-B0D6-40BDC60D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link w:val="10"/>
    <w:uiPriority w:val="9"/>
    <w:qFormat/>
    <w:rsid w:val="007B3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4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aliases w:val="Обычный (Web) Знак,Обычный (веб) Знак Знак,Обычный (Web) Знак Знак Знак,Обычный (Web)1 Знак Знак,Обычный (Web)1 Знак,Обычный (Web)1,Обычный (Web) Знак Знак Знак Знак Знак Знак Знак Знак Знак Знак Знак Знак"/>
    <w:basedOn w:val="a"/>
    <w:link w:val="a4"/>
    <w:uiPriority w:val="99"/>
    <w:unhideWhenUsed/>
    <w:rsid w:val="007B3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7B3429"/>
    <w:rPr>
      <w:b/>
      <w:bCs/>
    </w:rPr>
  </w:style>
  <w:style w:type="character" w:customStyle="1" w:styleId="ms-1">
    <w:name w:val="ms-1"/>
    <w:basedOn w:val="a0"/>
    <w:rsid w:val="007B3429"/>
  </w:style>
  <w:style w:type="character" w:customStyle="1" w:styleId="max-w-15ch">
    <w:name w:val="max-w-[15ch]"/>
    <w:basedOn w:val="a0"/>
    <w:rsid w:val="007B3429"/>
  </w:style>
  <w:style w:type="character" w:styleId="a6">
    <w:name w:val="Hyperlink"/>
    <w:uiPriority w:val="99"/>
    <w:unhideWhenUsed/>
    <w:rsid w:val="007B3429"/>
    <w:rPr>
      <w:color w:val="0563C1"/>
      <w:u w:val="single"/>
    </w:rPr>
  </w:style>
  <w:style w:type="character" w:customStyle="1" w:styleId="a4">
    <w:name w:val="Обычный (веб) Знак"/>
    <w:aliases w:val="Обычный (Web) Знак Знак,Обычный (веб) Знак Знак Знак,Обычный (Web) Знак Знак Знак Знак,Обычный (Web)1 Знак Знак Знак,Обычный (Web)1 Знак Знак1,Обычный (Web)1 Знак1"/>
    <w:link w:val="a3"/>
    <w:uiPriority w:val="99"/>
    <w:locked/>
    <w:rsid w:val="007B342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Table">
    <w:name w:val="HeadTable"/>
    <w:basedOn w:val="a"/>
    <w:link w:val="HeadTableChar"/>
    <w:qFormat/>
    <w:rsid w:val="007B3429"/>
    <w:pPr>
      <w:keepNext/>
      <w:keepLines/>
      <w:suppressAutoHyphens/>
      <w:spacing w:before="120" w:after="120" w:line="240" w:lineRule="auto"/>
    </w:pPr>
    <w:rPr>
      <w:rFonts w:ascii="Times New Roman" w:hAnsi="Times New Roman" w:cs="Times New Roman"/>
      <w:b/>
      <w:bCs/>
      <w:snapToGrid w:val="0"/>
      <w:sz w:val="24"/>
      <w:szCs w:val="24"/>
    </w:rPr>
  </w:style>
  <w:style w:type="character" w:customStyle="1" w:styleId="HeadTableChar">
    <w:name w:val="HeadTable Char"/>
    <w:link w:val="HeadTable"/>
    <w:rsid w:val="007B3429"/>
    <w:rPr>
      <w:rFonts w:ascii="Times New Roman" w:hAnsi="Times New Roman" w:cs="Times New Roman"/>
      <w:b/>
      <w:bCs/>
      <w:snapToGrid w:val="0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7B3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br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a@eab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br.org/analytics/special-reports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Ахунбаев Арман М.</dc:creator>
  <cp:keywords/>
  <dc:description/>
  <cp:lastModifiedBy>Ахунбаев Арман М.</cp:lastModifiedBy>
  <cp:revision>14</cp:revision>
  <dcterms:created xsi:type="dcterms:W3CDTF">2025-10-06T08:15:00Z</dcterms:created>
  <dcterms:modified xsi:type="dcterms:W3CDTF">2025-10-06T12:21:00Z</dcterms:modified>
</cp:coreProperties>
</file>