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38E6" w:rsidRPr="00C23B87" w:rsidRDefault="00414178" w:rsidP="00642E45">
      <w:pPr>
        <w:spacing w:before="120" w:after="120" w:line="240" w:lineRule="auto"/>
        <w:jc w:val="both"/>
        <w:rPr>
          <w:rFonts w:ascii="Verdana" w:hAnsi="Verdana" w:cs="Arial"/>
          <w:b/>
          <w:bCs/>
          <w:sz w:val="24"/>
          <w:szCs w:val="24"/>
        </w:rPr>
      </w:pPr>
      <w:r>
        <w:rPr>
          <w:rFonts w:ascii="Verdana" w:hAnsi="Verdana" w:cs="Arial"/>
          <w:b/>
          <w:bCs/>
          <w:sz w:val="24"/>
          <w:szCs w:val="24"/>
        </w:rPr>
        <w:t>ЕАБР: С</w:t>
      </w:r>
      <w:r w:rsidR="00395EC9" w:rsidRPr="00395EC9">
        <w:rPr>
          <w:rFonts w:ascii="Verdana" w:hAnsi="Verdana" w:cs="Arial"/>
          <w:b/>
          <w:bCs/>
          <w:sz w:val="24"/>
          <w:szCs w:val="24"/>
        </w:rPr>
        <w:t xml:space="preserve">тановление сильной нефтегазохимии </w:t>
      </w:r>
      <w:r w:rsidR="001938C7">
        <w:rPr>
          <w:rFonts w:ascii="Verdana" w:hAnsi="Verdana" w:cs="Arial"/>
          <w:b/>
          <w:bCs/>
          <w:sz w:val="24"/>
          <w:szCs w:val="24"/>
        </w:rPr>
        <w:t>—</w:t>
      </w:r>
      <w:r>
        <w:rPr>
          <w:rFonts w:ascii="Verdana" w:hAnsi="Verdana" w:cs="Arial"/>
          <w:b/>
          <w:bCs/>
          <w:sz w:val="24"/>
          <w:szCs w:val="24"/>
        </w:rPr>
        <w:t xml:space="preserve"> </w:t>
      </w:r>
      <w:r w:rsidR="00395EC9" w:rsidRPr="00395EC9">
        <w:rPr>
          <w:rFonts w:ascii="Verdana" w:hAnsi="Verdana" w:cs="Arial"/>
          <w:b/>
          <w:bCs/>
          <w:sz w:val="24"/>
          <w:szCs w:val="24"/>
        </w:rPr>
        <w:t>естественны</w:t>
      </w:r>
      <w:r>
        <w:rPr>
          <w:rFonts w:ascii="Verdana" w:hAnsi="Verdana" w:cs="Arial"/>
          <w:b/>
          <w:bCs/>
          <w:sz w:val="24"/>
          <w:szCs w:val="24"/>
        </w:rPr>
        <w:t>й</w:t>
      </w:r>
      <w:r w:rsidR="00395EC9" w:rsidRPr="00395EC9">
        <w:rPr>
          <w:rFonts w:ascii="Verdana" w:hAnsi="Verdana" w:cs="Arial"/>
          <w:b/>
          <w:bCs/>
          <w:sz w:val="24"/>
          <w:szCs w:val="24"/>
        </w:rPr>
        <w:t xml:space="preserve"> приоритет экономической политики Евразийского региона</w:t>
      </w:r>
    </w:p>
    <w:p w:rsidR="000763AF" w:rsidRDefault="00414178" w:rsidP="00642E45">
      <w:pPr>
        <w:spacing w:before="120" w:after="120" w:line="240" w:lineRule="auto"/>
        <w:jc w:val="both"/>
        <w:rPr>
          <w:rFonts w:ascii="Verdana" w:hAnsi="Verdana" w:cs="Arial"/>
          <w:i/>
          <w:sz w:val="24"/>
          <w:szCs w:val="24"/>
        </w:rPr>
      </w:pPr>
      <w:r w:rsidRPr="001F18AF">
        <w:rPr>
          <w:rFonts w:ascii="Verdana" w:hAnsi="Verdana" w:cs="Arial"/>
          <w:i/>
          <w:sz w:val="24"/>
          <w:szCs w:val="24"/>
        </w:rPr>
        <w:t xml:space="preserve">Нефтегазохимия является </w:t>
      </w:r>
      <w:r w:rsidR="00477471">
        <w:rPr>
          <w:rFonts w:ascii="Verdana" w:hAnsi="Verdana" w:cs="Arial"/>
          <w:i/>
          <w:sz w:val="24"/>
          <w:szCs w:val="24"/>
        </w:rPr>
        <w:t xml:space="preserve">высокотехнологичной </w:t>
      </w:r>
      <w:r w:rsidRPr="001F18AF">
        <w:rPr>
          <w:rFonts w:ascii="Verdana" w:hAnsi="Verdana" w:cs="Arial"/>
          <w:i/>
          <w:sz w:val="24"/>
          <w:szCs w:val="24"/>
        </w:rPr>
        <w:t xml:space="preserve">отраслью </w:t>
      </w:r>
      <w:r w:rsidR="00477471">
        <w:rPr>
          <w:rFonts w:ascii="Verdana" w:hAnsi="Verdana" w:cs="Arial"/>
          <w:i/>
          <w:sz w:val="24"/>
          <w:szCs w:val="24"/>
        </w:rPr>
        <w:t xml:space="preserve">со значительным мультипликативным эффектом. </w:t>
      </w:r>
      <w:r w:rsidRPr="001F18AF">
        <w:rPr>
          <w:rFonts w:ascii="Verdana" w:hAnsi="Verdana" w:cs="Arial"/>
          <w:i/>
          <w:sz w:val="24"/>
          <w:szCs w:val="24"/>
        </w:rPr>
        <w:t xml:space="preserve">Благодаря нефтегазохимии созданы 4 из 5 </w:t>
      </w:r>
      <w:r w:rsidRPr="001F18AF">
        <w:rPr>
          <w:rFonts w:ascii="Verdana" w:hAnsi="Verdana" w:cs="Arial"/>
          <w:i/>
          <w:sz w:val="24"/>
          <w:szCs w:val="24"/>
        </w:rPr>
        <w:t>предметов, которые окружают современного человека</w:t>
      </w:r>
      <w:r>
        <w:rPr>
          <w:rFonts w:ascii="Verdana" w:hAnsi="Verdana" w:cs="Arial"/>
          <w:i/>
          <w:sz w:val="24"/>
          <w:szCs w:val="24"/>
        </w:rPr>
        <w:t xml:space="preserve">. </w:t>
      </w:r>
      <w:r w:rsidRPr="001F18AF">
        <w:rPr>
          <w:rFonts w:ascii="Verdana" w:hAnsi="Verdana" w:cs="Arial"/>
          <w:i/>
          <w:sz w:val="24"/>
          <w:szCs w:val="24"/>
        </w:rPr>
        <w:t xml:space="preserve">Сегодня отрасль переживает глобальные структурные изменения. </w:t>
      </w:r>
      <w:r>
        <w:rPr>
          <w:rFonts w:ascii="Verdana" w:hAnsi="Verdana" w:cs="Arial"/>
          <w:i/>
          <w:sz w:val="24"/>
          <w:szCs w:val="24"/>
        </w:rPr>
        <w:t xml:space="preserve">Для экономик </w:t>
      </w:r>
      <w:r w:rsidRPr="001F18AF">
        <w:rPr>
          <w:rFonts w:ascii="Verdana" w:hAnsi="Verdana" w:cs="Arial"/>
          <w:i/>
          <w:sz w:val="24"/>
          <w:szCs w:val="24"/>
        </w:rPr>
        <w:t xml:space="preserve">Евразийского региона </w:t>
      </w:r>
      <w:r>
        <w:rPr>
          <w:rFonts w:ascii="Verdana" w:hAnsi="Verdana" w:cs="Arial"/>
          <w:i/>
          <w:sz w:val="24"/>
          <w:szCs w:val="24"/>
        </w:rPr>
        <w:t xml:space="preserve">здесь </w:t>
      </w:r>
      <w:r w:rsidRPr="001F18AF">
        <w:rPr>
          <w:rFonts w:ascii="Verdana" w:hAnsi="Verdana" w:cs="Arial"/>
          <w:i/>
          <w:sz w:val="24"/>
          <w:szCs w:val="24"/>
        </w:rPr>
        <w:t>о</w:t>
      </w:r>
      <w:r>
        <w:rPr>
          <w:rFonts w:ascii="Verdana" w:hAnsi="Verdana" w:cs="Arial"/>
          <w:i/>
          <w:sz w:val="24"/>
          <w:szCs w:val="24"/>
        </w:rPr>
        <w:t>ткрываются широкие возможности.</w:t>
      </w:r>
      <w:r w:rsidRPr="001F18AF">
        <w:rPr>
          <w:rFonts w:ascii="Verdana" w:hAnsi="Verdana" w:cs="Arial"/>
          <w:i/>
          <w:sz w:val="24"/>
          <w:szCs w:val="24"/>
        </w:rPr>
        <w:t xml:space="preserve"> </w:t>
      </w:r>
      <w:r w:rsidR="0081041F" w:rsidRPr="002C6D15">
        <w:rPr>
          <w:rFonts w:ascii="Verdana" w:hAnsi="Verdana" w:cs="Arial"/>
          <w:i/>
          <w:sz w:val="24"/>
          <w:szCs w:val="24"/>
        </w:rPr>
        <w:t xml:space="preserve">В новом исследовании </w:t>
      </w:r>
      <w:r w:rsidR="00C12DA1">
        <w:rPr>
          <w:rFonts w:ascii="Verdana" w:hAnsi="Verdana" w:cs="Arial"/>
          <w:i/>
          <w:sz w:val="24"/>
          <w:szCs w:val="24"/>
        </w:rPr>
        <w:t>Банка</w:t>
      </w:r>
      <w:r w:rsidR="00C12DA1" w:rsidRPr="002C6D15">
        <w:rPr>
          <w:rFonts w:ascii="Verdana" w:hAnsi="Verdana" w:cs="Arial"/>
          <w:i/>
          <w:sz w:val="24"/>
          <w:szCs w:val="24"/>
        </w:rPr>
        <w:t xml:space="preserve"> </w:t>
      </w:r>
      <w:r w:rsidR="0081041F" w:rsidRPr="002C6D15">
        <w:rPr>
          <w:rFonts w:ascii="Verdana" w:hAnsi="Verdana" w:cs="Arial"/>
          <w:i/>
          <w:sz w:val="24"/>
          <w:szCs w:val="24"/>
        </w:rPr>
        <w:t>«</w:t>
      </w:r>
      <w:r w:rsidR="003B01CE" w:rsidRPr="003B01CE">
        <w:rPr>
          <w:rFonts w:ascii="Verdana" w:hAnsi="Verdana" w:cs="Arial"/>
          <w:i/>
          <w:sz w:val="24"/>
          <w:szCs w:val="24"/>
        </w:rPr>
        <w:t>Нефтегазохимическая промышленность Евразии: перспективы углубления переработки</w:t>
      </w:r>
      <w:r w:rsidR="0081041F">
        <w:rPr>
          <w:rFonts w:ascii="Verdana" w:hAnsi="Verdana" w:cs="Arial"/>
          <w:i/>
          <w:sz w:val="24"/>
          <w:szCs w:val="24"/>
        </w:rPr>
        <w:t xml:space="preserve">» </w:t>
      </w:r>
      <w:r w:rsidR="003B01CE">
        <w:rPr>
          <w:rFonts w:ascii="Verdana" w:hAnsi="Verdana" w:cs="Arial"/>
          <w:i/>
          <w:sz w:val="24"/>
          <w:szCs w:val="24"/>
        </w:rPr>
        <w:t>пред</w:t>
      </w:r>
      <w:r>
        <w:rPr>
          <w:rFonts w:ascii="Verdana" w:hAnsi="Verdana" w:cs="Arial"/>
          <w:i/>
          <w:sz w:val="24"/>
          <w:szCs w:val="24"/>
        </w:rPr>
        <w:t xml:space="preserve">ложен набор </w:t>
      </w:r>
      <w:r w:rsidR="00DA65B1">
        <w:rPr>
          <w:rFonts w:ascii="Verdana" w:hAnsi="Verdana" w:cs="Arial"/>
          <w:i/>
          <w:sz w:val="24"/>
          <w:szCs w:val="24"/>
        </w:rPr>
        <w:t xml:space="preserve">приоритетных </w:t>
      </w:r>
      <w:r>
        <w:rPr>
          <w:rFonts w:ascii="Verdana" w:hAnsi="Verdana" w:cs="Arial"/>
          <w:i/>
          <w:sz w:val="24"/>
          <w:szCs w:val="24"/>
        </w:rPr>
        <w:t>блоков м</w:t>
      </w:r>
      <w:r w:rsidR="003B01CE">
        <w:rPr>
          <w:rFonts w:ascii="Verdana" w:hAnsi="Verdana" w:cs="Arial"/>
          <w:i/>
          <w:sz w:val="24"/>
          <w:szCs w:val="24"/>
        </w:rPr>
        <w:t>ер</w:t>
      </w:r>
      <w:r w:rsidR="00257665">
        <w:rPr>
          <w:rFonts w:ascii="Verdana" w:hAnsi="Verdana" w:cs="Arial"/>
          <w:i/>
          <w:sz w:val="24"/>
          <w:szCs w:val="24"/>
        </w:rPr>
        <w:t xml:space="preserve">, которые позволят </w:t>
      </w:r>
      <w:r w:rsidR="00A41BDF">
        <w:rPr>
          <w:rFonts w:ascii="Verdana" w:hAnsi="Verdana" w:cs="Arial"/>
          <w:i/>
          <w:sz w:val="24"/>
          <w:szCs w:val="24"/>
        </w:rPr>
        <w:t>раскрыт</w:t>
      </w:r>
      <w:r w:rsidR="00257665">
        <w:rPr>
          <w:rFonts w:ascii="Verdana" w:hAnsi="Verdana" w:cs="Arial"/>
          <w:i/>
          <w:sz w:val="24"/>
          <w:szCs w:val="24"/>
        </w:rPr>
        <w:t xml:space="preserve">ь имеющийся </w:t>
      </w:r>
      <w:r w:rsidR="003B01CE" w:rsidRPr="003B01CE">
        <w:rPr>
          <w:rFonts w:ascii="Verdana" w:hAnsi="Verdana" w:cs="Arial"/>
          <w:i/>
          <w:sz w:val="24"/>
          <w:szCs w:val="24"/>
        </w:rPr>
        <w:t>потенциал</w:t>
      </w:r>
      <w:r>
        <w:rPr>
          <w:rFonts w:ascii="Verdana" w:hAnsi="Verdana" w:cs="Arial"/>
          <w:i/>
          <w:sz w:val="24"/>
          <w:szCs w:val="24"/>
        </w:rPr>
        <w:t xml:space="preserve">. В том числе они включают политику кластеризации, дополнительный фокус на малотоннажной химии; </w:t>
      </w:r>
      <w:r w:rsidR="00196EFA" w:rsidRPr="00196EFA">
        <w:rPr>
          <w:rFonts w:ascii="Verdana" w:hAnsi="Verdana" w:cs="Arial"/>
          <w:i/>
          <w:sz w:val="24"/>
          <w:szCs w:val="24"/>
        </w:rPr>
        <w:t>внедрение механизмов</w:t>
      </w:r>
      <w:r>
        <w:rPr>
          <w:rFonts w:ascii="Verdana" w:hAnsi="Verdana" w:cs="Arial"/>
          <w:i/>
          <w:sz w:val="24"/>
          <w:szCs w:val="24"/>
        </w:rPr>
        <w:t xml:space="preserve"> экономики замкнутого цикла. </w:t>
      </w:r>
      <w:r w:rsidR="00196EFA" w:rsidRPr="00196EFA">
        <w:rPr>
          <w:rFonts w:ascii="Verdana" w:hAnsi="Verdana" w:cs="Arial"/>
          <w:i/>
          <w:sz w:val="24"/>
          <w:szCs w:val="24"/>
        </w:rPr>
        <w:t xml:space="preserve">В случае реализации потенциала </w:t>
      </w:r>
      <w:r w:rsidR="000C1729">
        <w:rPr>
          <w:rFonts w:ascii="Verdana" w:hAnsi="Verdana" w:cs="Arial"/>
          <w:i/>
          <w:sz w:val="24"/>
          <w:szCs w:val="24"/>
        </w:rPr>
        <w:t xml:space="preserve">Евразийского </w:t>
      </w:r>
      <w:r w:rsidR="00196EFA" w:rsidRPr="00196EFA">
        <w:rPr>
          <w:rFonts w:ascii="Verdana" w:hAnsi="Verdana" w:cs="Arial"/>
          <w:i/>
          <w:sz w:val="24"/>
          <w:szCs w:val="24"/>
        </w:rPr>
        <w:t xml:space="preserve">региона нефтегазохимия станет одним из эффективных путей </w:t>
      </w:r>
      <w:r>
        <w:rPr>
          <w:rFonts w:ascii="Verdana" w:hAnsi="Verdana" w:cs="Arial"/>
          <w:i/>
          <w:sz w:val="24"/>
          <w:szCs w:val="24"/>
        </w:rPr>
        <w:t xml:space="preserve">преодоления «эффекта колеи» </w:t>
      </w:r>
      <w:r w:rsidR="00CA1DC9">
        <w:rPr>
          <w:rFonts w:ascii="Verdana" w:hAnsi="Verdana" w:cs="Arial"/>
          <w:i/>
          <w:sz w:val="24"/>
          <w:szCs w:val="24"/>
        </w:rPr>
        <w:t>—</w:t>
      </w:r>
      <w:r>
        <w:rPr>
          <w:rFonts w:ascii="Verdana" w:hAnsi="Verdana" w:cs="Arial"/>
          <w:i/>
          <w:sz w:val="24"/>
          <w:szCs w:val="24"/>
        </w:rPr>
        <w:t xml:space="preserve"> повышения переделов, наращивания технологичности экономики и занятия выгодной ниши в международн</w:t>
      </w:r>
      <w:r>
        <w:rPr>
          <w:rFonts w:ascii="Verdana" w:hAnsi="Verdana" w:cs="Arial"/>
          <w:i/>
          <w:sz w:val="24"/>
          <w:szCs w:val="24"/>
        </w:rPr>
        <w:t xml:space="preserve">ом разделении труда. </w:t>
      </w:r>
    </w:p>
    <w:p w:rsidR="00D201C1" w:rsidRDefault="00414178" w:rsidP="00642E45">
      <w:pPr>
        <w:spacing w:before="120" w:after="120" w:line="240" w:lineRule="auto"/>
        <w:jc w:val="both"/>
        <w:rPr>
          <w:rFonts w:ascii="Verdana" w:hAnsi="Verdana"/>
          <w:sz w:val="24"/>
          <w:szCs w:val="24"/>
        </w:rPr>
      </w:pPr>
      <w:r>
        <w:rPr>
          <w:rFonts w:ascii="Verdana" w:hAnsi="Verdana" w:cs="Arial"/>
          <w:b/>
          <w:sz w:val="24"/>
          <w:szCs w:val="24"/>
        </w:rPr>
        <w:t>Алматы</w:t>
      </w:r>
      <w:r w:rsidR="00DA4699" w:rsidRPr="00C23B87">
        <w:rPr>
          <w:rFonts w:ascii="Verdana" w:hAnsi="Verdana" w:cs="Arial"/>
          <w:b/>
          <w:sz w:val="24"/>
          <w:szCs w:val="24"/>
        </w:rPr>
        <w:t xml:space="preserve">, </w:t>
      </w:r>
      <w:r w:rsidR="004904B2">
        <w:rPr>
          <w:rFonts w:ascii="Verdana" w:hAnsi="Verdana" w:cs="Arial"/>
          <w:b/>
          <w:sz w:val="24"/>
          <w:szCs w:val="24"/>
        </w:rPr>
        <w:t>апрель</w:t>
      </w:r>
      <w:r w:rsidR="003B01CE">
        <w:rPr>
          <w:rFonts w:ascii="Verdana" w:hAnsi="Verdana" w:cs="Arial"/>
          <w:b/>
          <w:sz w:val="24"/>
          <w:szCs w:val="24"/>
        </w:rPr>
        <w:t xml:space="preserve"> </w:t>
      </w:r>
      <w:r w:rsidR="00DA4699" w:rsidRPr="00C23B87">
        <w:rPr>
          <w:rFonts w:ascii="Verdana" w:hAnsi="Verdana" w:cs="Arial"/>
          <w:b/>
          <w:sz w:val="24"/>
          <w:szCs w:val="24"/>
        </w:rPr>
        <w:t>202</w:t>
      </w:r>
      <w:r w:rsidR="008351CA">
        <w:rPr>
          <w:rFonts w:ascii="Verdana" w:hAnsi="Verdana" w:cs="Arial"/>
          <w:b/>
          <w:sz w:val="24"/>
          <w:szCs w:val="24"/>
        </w:rPr>
        <w:t>4</w:t>
      </w:r>
      <w:r w:rsidR="005F0CF8">
        <w:rPr>
          <w:rFonts w:ascii="Verdana" w:hAnsi="Verdana" w:cs="Arial"/>
          <w:b/>
          <w:sz w:val="24"/>
          <w:szCs w:val="24"/>
        </w:rPr>
        <w:t xml:space="preserve"> года</w:t>
      </w:r>
      <w:r w:rsidR="00E80C2E">
        <w:rPr>
          <w:rFonts w:ascii="Verdana" w:hAnsi="Verdana" w:cs="Arial"/>
          <w:b/>
          <w:sz w:val="24"/>
          <w:szCs w:val="24"/>
        </w:rPr>
        <w:t xml:space="preserve">. </w:t>
      </w:r>
      <w:r w:rsidR="00654287" w:rsidRPr="00453870">
        <w:rPr>
          <w:rFonts w:ascii="Verdana" w:hAnsi="Verdana"/>
          <w:sz w:val="24"/>
          <w:szCs w:val="24"/>
        </w:rPr>
        <w:t xml:space="preserve">Нефтегазохимическая промышленность </w:t>
      </w:r>
      <w:r w:rsidR="00A27475" w:rsidRPr="00453870">
        <w:rPr>
          <w:rFonts w:ascii="Verdana" w:hAnsi="Verdana"/>
          <w:sz w:val="24"/>
          <w:szCs w:val="24"/>
        </w:rPr>
        <w:t xml:space="preserve">Евразийского региона </w:t>
      </w:r>
      <w:r w:rsidR="00654287" w:rsidRPr="00453870">
        <w:rPr>
          <w:rFonts w:ascii="Verdana" w:hAnsi="Verdana"/>
          <w:sz w:val="24"/>
          <w:szCs w:val="24"/>
        </w:rPr>
        <w:t>развивается</w:t>
      </w:r>
      <w:r w:rsidR="00654287" w:rsidRPr="00D201C1">
        <w:rPr>
          <w:rFonts w:ascii="Verdana" w:hAnsi="Verdana"/>
          <w:b/>
          <w:sz w:val="24"/>
          <w:szCs w:val="24"/>
        </w:rPr>
        <w:t xml:space="preserve"> высокими темпами</w:t>
      </w:r>
      <w:r w:rsidR="00654287" w:rsidRPr="00A27475">
        <w:rPr>
          <w:rFonts w:ascii="Verdana" w:hAnsi="Verdana"/>
          <w:sz w:val="24"/>
          <w:szCs w:val="24"/>
        </w:rPr>
        <w:t>. За последние 6 лет общий уровень производства основных полимеров (</w:t>
      </w:r>
      <w:r w:rsidR="00654287" w:rsidRPr="00A27475">
        <w:rPr>
          <w:rFonts w:ascii="Verdana" w:hAnsi="Verdana"/>
          <w:i/>
        </w:rPr>
        <w:t xml:space="preserve">полиэтилен, полипропилен, поливинилхлорид, полистирол, </w:t>
      </w:r>
      <w:r w:rsidR="00654287" w:rsidRPr="00A27475">
        <w:rPr>
          <w:rFonts w:ascii="Verdana" w:hAnsi="Verdana"/>
          <w:i/>
          <w:sz w:val="24"/>
          <w:szCs w:val="24"/>
        </w:rPr>
        <w:t>полиэтилентерефталат, синтетические каучуки</w:t>
      </w:r>
      <w:r w:rsidR="00654287" w:rsidRPr="00A27475">
        <w:rPr>
          <w:rFonts w:ascii="Verdana" w:hAnsi="Verdana"/>
          <w:sz w:val="24"/>
          <w:szCs w:val="24"/>
        </w:rPr>
        <w:t>) вырос в 1,5 раза</w:t>
      </w:r>
      <w:r w:rsidR="00C04F9B">
        <w:rPr>
          <w:rFonts w:ascii="Verdana" w:hAnsi="Verdana"/>
          <w:sz w:val="24"/>
          <w:szCs w:val="24"/>
        </w:rPr>
        <w:t>,</w:t>
      </w:r>
      <w:r w:rsidR="00654287" w:rsidRPr="00A27475">
        <w:rPr>
          <w:rFonts w:ascii="Verdana" w:hAnsi="Verdana"/>
          <w:sz w:val="24"/>
          <w:szCs w:val="24"/>
        </w:rPr>
        <w:t xml:space="preserve"> с 5,8 млн тонн в 2017 г</w:t>
      </w:r>
      <w:r w:rsidR="00C04F9B">
        <w:rPr>
          <w:rFonts w:ascii="Verdana" w:hAnsi="Verdana"/>
          <w:sz w:val="24"/>
          <w:szCs w:val="24"/>
        </w:rPr>
        <w:t>оду</w:t>
      </w:r>
      <w:r w:rsidR="00654287" w:rsidRPr="00A27475">
        <w:rPr>
          <w:rFonts w:ascii="Verdana" w:hAnsi="Verdana"/>
          <w:sz w:val="24"/>
          <w:szCs w:val="24"/>
        </w:rPr>
        <w:t xml:space="preserve"> до 8,4 млн тонн в 2022 г</w:t>
      </w:r>
      <w:r w:rsidR="00C04F9B">
        <w:rPr>
          <w:rFonts w:ascii="Verdana" w:hAnsi="Verdana"/>
          <w:sz w:val="24"/>
          <w:szCs w:val="24"/>
        </w:rPr>
        <w:t>оду</w:t>
      </w:r>
      <w:r w:rsidR="00654287" w:rsidRPr="00A27475">
        <w:rPr>
          <w:rFonts w:ascii="Verdana" w:hAnsi="Verdana"/>
          <w:sz w:val="24"/>
          <w:szCs w:val="24"/>
        </w:rPr>
        <w:t>.</w:t>
      </w:r>
      <w:r w:rsidR="00A27475">
        <w:rPr>
          <w:rFonts w:ascii="Verdana" w:hAnsi="Verdana"/>
          <w:sz w:val="24"/>
          <w:szCs w:val="24"/>
        </w:rPr>
        <w:t xml:space="preserve"> </w:t>
      </w:r>
    </w:p>
    <w:p w:rsidR="00A27475" w:rsidRPr="00A27475" w:rsidRDefault="00414178" w:rsidP="00642E45">
      <w:pPr>
        <w:spacing w:before="120" w:after="120" w:line="240" w:lineRule="auto"/>
        <w:jc w:val="both"/>
        <w:rPr>
          <w:rFonts w:ascii="Verdana" w:hAnsi="Verdana"/>
          <w:sz w:val="24"/>
          <w:szCs w:val="24"/>
          <w:lang w:eastAsia="ru-RU"/>
        </w:rPr>
      </w:pPr>
      <w:r w:rsidRPr="00A27475">
        <w:rPr>
          <w:rFonts w:ascii="Verdana" w:hAnsi="Verdana"/>
          <w:sz w:val="24"/>
          <w:szCs w:val="24"/>
          <w:lang w:eastAsia="ru-RU"/>
        </w:rPr>
        <w:t>В перспективе до 2035 г</w:t>
      </w:r>
      <w:r w:rsidR="00C04F9B">
        <w:rPr>
          <w:rFonts w:ascii="Verdana" w:hAnsi="Verdana"/>
          <w:sz w:val="24"/>
          <w:szCs w:val="24"/>
          <w:lang w:eastAsia="ru-RU"/>
        </w:rPr>
        <w:t>ода</w:t>
      </w:r>
      <w:r w:rsidRPr="00A27475">
        <w:rPr>
          <w:rFonts w:ascii="Verdana" w:hAnsi="Verdana"/>
          <w:sz w:val="24"/>
          <w:szCs w:val="24"/>
          <w:lang w:eastAsia="ru-RU"/>
        </w:rPr>
        <w:t xml:space="preserve"> </w:t>
      </w:r>
      <w:r w:rsidRPr="00453870">
        <w:rPr>
          <w:rFonts w:ascii="Verdana" w:hAnsi="Verdana"/>
          <w:sz w:val="24"/>
          <w:szCs w:val="24"/>
          <w:lang w:eastAsia="ru-RU"/>
        </w:rPr>
        <w:t>р</w:t>
      </w:r>
      <w:r w:rsidRPr="00453870">
        <w:rPr>
          <w:rFonts w:ascii="Verdana" w:hAnsi="Verdana"/>
          <w:sz w:val="24"/>
          <w:szCs w:val="24"/>
        </w:rPr>
        <w:t>аскрытие потенциала нефтегазохимии несет</w:t>
      </w:r>
      <w:r w:rsidRPr="00D201C1">
        <w:rPr>
          <w:rFonts w:ascii="Verdana" w:hAnsi="Verdana"/>
          <w:b/>
          <w:sz w:val="24"/>
          <w:szCs w:val="24"/>
        </w:rPr>
        <w:t xml:space="preserve"> значительные экономические </w:t>
      </w:r>
      <w:r w:rsidR="000C1729">
        <w:rPr>
          <w:rFonts w:ascii="Verdana" w:hAnsi="Verdana"/>
          <w:b/>
          <w:sz w:val="24"/>
          <w:szCs w:val="24"/>
        </w:rPr>
        <w:t>преимущества</w:t>
      </w:r>
      <w:r>
        <w:rPr>
          <w:rFonts w:ascii="Verdana" w:hAnsi="Verdana"/>
          <w:sz w:val="24"/>
          <w:szCs w:val="24"/>
        </w:rPr>
        <w:t xml:space="preserve"> для региона. О</w:t>
      </w:r>
      <w:r w:rsidRPr="00A27475">
        <w:rPr>
          <w:rFonts w:ascii="Verdana" w:hAnsi="Verdana"/>
          <w:sz w:val="24"/>
          <w:szCs w:val="24"/>
          <w:lang w:eastAsia="ru-RU"/>
        </w:rPr>
        <w:t xml:space="preserve">трасль может </w:t>
      </w:r>
      <w:r w:rsidRPr="00A27475">
        <w:rPr>
          <w:rFonts w:ascii="Verdana" w:hAnsi="Verdana"/>
          <w:sz w:val="24"/>
          <w:szCs w:val="24"/>
          <w:lang w:eastAsia="ru-RU"/>
        </w:rPr>
        <w:t>обеспечить:</w:t>
      </w:r>
    </w:p>
    <w:p w:rsidR="00A27475" w:rsidRPr="00A27475" w:rsidRDefault="00414178" w:rsidP="00642E45">
      <w:pPr>
        <w:pStyle w:val="a9"/>
        <w:numPr>
          <w:ilvl w:val="0"/>
          <w:numId w:val="12"/>
        </w:numPr>
        <w:spacing w:before="120" w:after="120" w:line="240" w:lineRule="auto"/>
        <w:contextualSpacing w:val="0"/>
        <w:jc w:val="both"/>
        <w:rPr>
          <w:rFonts w:ascii="Verdana" w:hAnsi="Verdana"/>
          <w:sz w:val="24"/>
          <w:szCs w:val="24"/>
          <w:lang w:eastAsia="ru-RU"/>
        </w:rPr>
      </w:pPr>
      <w:r w:rsidRPr="00D201C1">
        <w:rPr>
          <w:rFonts w:ascii="Verdana" w:hAnsi="Verdana"/>
          <w:b/>
          <w:sz w:val="24"/>
          <w:szCs w:val="24"/>
          <w:lang w:eastAsia="ru-RU"/>
        </w:rPr>
        <w:t xml:space="preserve">до 5,8% </w:t>
      </w:r>
      <w:r w:rsidRPr="008A4101">
        <w:rPr>
          <w:rFonts w:ascii="Verdana" w:hAnsi="Verdana"/>
          <w:sz w:val="24"/>
          <w:szCs w:val="24"/>
          <w:lang w:eastAsia="ru-RU"/>
        </w:rPr>
        <w:t>ежегодного прироста</w:t>
      </w:r>
      <w:r w:rsidRPr="00D201C1">
        <w:rPr>
          <w:rFonts w:ascii="Verdana" w:hAnsi="Verdana"/>
          <w:b/>
          <w:sz w:val="24"/>
          <w:szCs w:val="24"/>
          <w:lang w:eastAsia="ru-RU"/>
        </w:rPr>
        <w:t xml:space="preserve"> </w:t>
      </w:r>
      <w:r w:rsidRPr="00453870">
        <w:rPr>
          <w:rFonts w:ascii="Verdana" w:hAnsi="Verdana"/>
          <w:b/>
          <w:sz w:val="24"/>
          <w:szCs w:val="24"/>
          <w:lang w:eastAsia="ru-RU"/>
        </w:rPr>
        <w:t>выпуска</w:t>
      </w:r>
      <w:r w:rsidRPr="00453870">
        <w:rPr>
          <w:rFonts w:ascii="Verdana" w:hAnsi="Verdana"/>
          <w:sz w:val="24"/>
          <w:szCs w:val="24"/>
          <w:lang w:eastAsia="ru-RU"/>
        </w:rPr>
        <w:t xml:space="preserve"> </w:t>
      </w:r>
      <w:r w:rsidRPr="008A4101">
        <w:rPr>
          <w:rFonts w:ascii="Verdana" w:hAnsi="Verdana"/>
          <w:b/>
          <w:sz w:val="24"/>
          <w:szCs w:val="24"/>
          <w:lang w:eastAsia="ru-RU"/>
        </w:rPr>
        <w:t>базовых полимеров</w:t>
      </w:r>
      <w:r w:rsidRPr="00A27475">
        <w:rPr>
          <w:rFonts w:ascii="Verdana" w:hAnsi="Verdana"/>
          <w:sz w:val="24"/>
          <w:szCs w:val="24"/>
          <w:lang w:eastAsia="ru-RU"/>
        </w:rPr>
        <w:t xml:space="preserve"> и синтетических каучуков. В общей сложности производство полимерной продукции в натуральном выражении может увеличиться в 2 раза</w:t>
      </w:r>
      <w:r w:rsidR="00793AB1">
        <w:rPr>
          <w:rFonts w:ascii="Verdana" w:hAnsi="Verdana"/>
          <w:sz w:val="24"/>
          <w:szCs w:val="24"/>
          <w:lang w:eastAsia="ru-RU"/>
        </w:rPr>
        <w:t>,</w:t>
      </w:r>
      <w:r w:rsidRPr="00A27475">
        <w:rPr>
          <w:rFonts w:ascii="Verdana" w:hAnsi="Verdana"/>
          <w:sz w:val="24"/>
          <w:szCs w:val="24"/>
          <w:lang w:eastAsia="ru-RU"/>
        </w:rPr>
        <w:t xml:space="preserve"> до более 20 млн тонн</w:t>
      </w:r>
      <w:r w:rsidR="00793AB1">
        <w:rPr>
          <w:rFonts w:ascii="Verdana" w:hAnsi="Verdana"/>
          <w:sz w:val="24"/>
          <w:szCs w:val="24"/>
          <w:lang w:eastAsia="ru-RU"/>
        </w:rPr>
        <w:t>;</w:t>
      </w:r>
    </w:p>
    <w:p w:rsidR="00A27475" w:rsidRPr="008351CA" w:rsidRDefault="00414178" w:rsidP="00642E45">
      <w:pPr>
        <w:pStyle w:val="a9"/>
        <w:numPr>
          <w:ilvl w:val="0"/>
          <w:numId w:val="12"/>
        </w:numPr>
        <w:spacing w:before="120" w:after="120" w:line="240" w:lineRule="auto"/>
        <w:contextualSpacing w:val="0"/>
        <w:jc w:val="both"/>
        <w:rPr>
          <w:rFonts w:ascii="Verdana" w:hAnsi="Verdana"/>
          <w:sz w:val="24"/>
          <w:szCs w:val="24"/>
        </w:rPr>
      </w:pPr>
      <w:r w:rsidRPr="00D201C1">
        <w:rPr>
          <w:rFonts w:ascii="Verdana" w:hAnsi="Verdana"/>
          <w:b/>
          <w:sz w:val="24"/>
          <w:szCs w:val="24"/>
        </w:rPr>
        <w:t>до 0,44 п.</w:t>
      </w:r>
      <w:r w:rsidR="00793AB1">
        <w:rPr>
          <w:rFonts w:ascii="Verdana" w:hAnsi="Verdana"/>
          <w:b/>
          <w:sz w:val="24"/>
          <w:szCs w:val="24"/>
        </w:rPr>
        <w:t xml:space="preserve"> </w:t>
      </w:r>
      <w:r w:rsidRPr="00D201C1">
        <w:rPr>
          <w:rFonts w:ascii="Verdana" w:hAnsi="Verdana"/>
          <w:b/>
          <w:sz w:val="24"/>
          <w:szCs w:val="24"/>
        </w:rPr>
        <w:t xml:space="preserve">п. </w:t>
      </w:r>
      <w:r w:rsidRPr="008A4101">
        <w:rPr>
          <w:rFonts w:ascii="Verdana" w:hAnsi="Verdana"/>
          <w:sz w:val="24"/>
          <w:szCs w:val="24"/>
        </w:rPr>
        <w:t>ежегодного прироста</w:t>
      </w:r>
      <w:r w:rsidRPr="00D201C1">
        <w:rPr>
          <w:rFonts w:ascii="Verdana" w:hAnsi="Verdana"/>
          <w:b/>
          <w:sz w:val="24"/>
          <w:szCs w:val="24"/>
        </w:rPr>
        <w:t xml:space="preserve"> </w:t>
      </w:r>
      <w:r w:rsidRPr="00453870">
        <w:rPr>
          <w:rFonts w:ascii="Verdana" w:hAnsi="Verdana"/>
          <w:b/>
          <w:sz w:val="24"/>
          <w:szCs w:val="24"/>
        </w:rPr>
        <w:t>ВВП</w:t>
      </w:r>
      <w:r w:rsidRPr="00453870">
        <w:rPr>
          <w:rFonts w:ascii="Verdana" w:hAnsi="Verdana"/>
          <w:sz w:val="24"/>
          <w:szCs w:val="24"/>
        </w:rPr>
        <w:t xml:space="preserve"> Евразийского региона</w:t>
      </w:r>
      <w:r w:rsidRPr="00A27475">
        <w:rPr>
          <w:rFonts w:ascii="Verdana" w:hAnsi="Verdana"/>
          <w:sz w:val="24"/>
          <w:szCs w:val="24"/>
        </w:rPr>
        <w:t xml:space="preserve"> </w:t>
      </w:r>
      <w:r w:rsidR="004904B2" w:rsidRPr="00982175">
        <w:rPr>
          <w:rFonts w:ascii="Verdana" w:hAnsi="Verdana"/>
          <w:sz w:val="24"/>
          <w:szCs w:val="20"/>
        </w:rPr>
        <w:t>(</w:t>
      </w:r>
      <w:r w:rsidR="004904B2" w:rsidRPr="004904B2">
        <w:rPr>
          <w:rFonts w:ascii="Verdana" w:hAnsi="Verdana"/>
          <w:i/>
          <w:sz w:val="24"/>
          <w:szCs w:val="20"/>
        </w:rPr>
        <w:t>отношение среднего годового полного эффекта от инвестиций и прироста производства на ВВП к объ</w:t>
      </w:r>
      <w:r w:rsidR="00E15174">
        <w:rPr>
          <w:rFonts w:ascii="Verdana" w:hAnsi="Verdana"/>
          <w:i/>
          <w:sz w:val="24"/>
          <w:szCs w:val="20"/>
        </w:rPr>
        <w:t>е</w:t>
      </w:r>
      <w:r w:rsidR="004904B2" w:rsidRPr="004904B2">
        <w:rPr>
          <w:rFonts w:ascii="Verdana" w:hAnsi="Verdana"/>
          <w:i/>
          <w:sz w:val="24"/>
          <w:szCs w:val="20"/>
        </w:rPr>
        <w:t>му ВВП в 2022 г</w:t>
      </w:r>
      <w:r w:rsidR="00E15174">
        <w:rPr>
          <w:rFonts w:ascii="Verdana" w:hAnsi="Verdana"/>
          <w:i/>
          <w:sz w:val="24"/>
          <w:szCs w:val="20"/>
        </w:rPr>
        <w:t>оду</w:t>
      </w:r>
      <w:r w:rsidR="004904B2" w:rsidRPr="004904B2">
        <w:rPr>
          <w:rFonts w:ascii="Verdana" w:hAnsi="Verdana"/>
          <w:sz w:val="24"/>
          <w:szCs w:val="20"/>
        </w:rPr>
        <w:t>). При этом данный показатель для Российской Федерации составляет 0,32 п.</w:t>
      </w:r>
      <w:r w:rsidR="00081D47">
        <w:rPr>
          <w:rFonts w:ascii="Verdana" w:hAnsi="Verdana"/>
          <w:sz w:val="24"/>
          <w:szCs w:val="20"/>
        </w:rPr>
        <w:t xml:space="preserve"> </w:t>
      </w:r>
      <w:r w:rsidR="004904B2" w:rsidRPr="004904B2">
        <w:rPr>
          <w:rFonts w:ascii="Verdana" w:hAnsi="Verdana"/>
          <w:sz w:val="24"/>
          <w:szCs w:val="20"/>
        </w:rPr>
        <w:t xml:space="preserve">п., а для Республики Казахстан </w:t>
      </w:r>
      <w:r w:rsidR="00081D47">
        <w:rPr>
          <w:rFonts w:ascii="Verdana" w:hAnsi="Verdana"/>
          <w:sz w:val="24"/>
          <w:szCs w:val="20"/>
        </w:rPr>
        <w:t>—</w:t>
      </w:r>
      <w:r w:rsidR="004904B2" w:rsidRPr="004904B2">
        <w:rPr>
          <w:rFonts w:ascii="Verdana" w:hAnsi="Verdana"/>
          <w:sz w:val="24"/>
          <w:szCs w:val="20"/>
        </w:rPr>
        <w:t xml:space="preserve"> 1,38 п.</w:t>
      </w:r>
      <w:r w:rsidR="00081D47">
        <w:rPr>
          <w:rFonts w:ascii="Verdana" w:hAnsi="Verdana"/>
          <w:sz w:val="24"/>
          <w:szCs w:val="20"/>
        </w:rPr>
        <w:t xml:space="preserve"> </w:t>
      </w:r>
      <w:r w:rsidR="004904B2" w:rsidRPr="004904B2">
        <w:rPr>
          <w:rFonts w:ascii="Verdana" w:hAnsi="Verdana"/>
          <w:sz w:val="24"/>
          <w:szCs w:val="20"/>
        </w:rPr>
        <w:t>п. Суммарно к 2035 г</w:t>
      </w:r>
      <w:r w:rsidR="00081D47">
        <w:rPr>
          <w:rFonts w:ascii="Verdana" w:hAnsi="Verdana"/>
          <w:sz w:val="24"/>
          <w:szCs w:val="20"/>
        </w:rPr>
        <w:t>оду</w:t>
      </w:r>
      <w:r w:rsidR="004904B2" w:rsidRPr="004904B2">
        <w:rPr>
          <w:rFonts w:ascii="Verdana" w:hAnsi="Verdana"/>
          <w:sz w:val="24"/>
          <w:szCs w:val="20"/>
        </w:rPr>
        <w:t xml:space="preserve"> ВВП региона может получить дополнительные 153,5 млрд </w:t>
      </w:r>
      <w:r w:rsidR="00E62A75">
        <w:rPr>
          <w:rFonts w:ascii="Verdana" w:hAnsi="Verdana"/>
          <w:sz w:val="24"/>
          <w:szCs w:val="20"/>
        </w:rPr>
        <w:t>долларов</w:t>
      </w:r>
      <w:r w:rsidR="00E15174">
        <w:rPr>
          <w:rFonts w:ascii="Verdana" w:hAnsi="Verdana"/>
          <w:sz w:val="24"/>
          <w:szCs w:val="20"/>
        </w:rPr>
        <w:t>;</w:t>
      </w:r>
    </w:p>
    <w:p w:rsidR="00D201C1" w:rsidRPr="008A4101" w:rsidRDefault="00414178" w:rsidP="00642E45">
      <w:pPr>
        <w:pStyle w:val="a9"/>
        <w:numPr>
          <w:ilvl w:val="0"/>
          <w:numId w:val="12"/>
        </w:numPr>
        <w:spacing w:before="120" w:after="120" w:line="240" w:lineRule="auto"/>
        <w:contextualSpacing w:val="0"/>
        <w:jc w:val="both"/>
        <w:rPr>
          <w:rFonts w:ascii="Verdana" w:hAnsi="Verdana"/>
          <w:sz w:val="24"/>
          <w:szCs w:val="24"/>
        </w:rPr>
      </w:pPr>
      <w:r w:rsidRPr="00453870">
        <w:rPr>
          <w:rFonts w:ascii="Verdana" w:hAnsi="Verdana"/>
          <w:sz w:val="24"/>
          <w:szCs w:val="24"/>
        </w:rPr>
        <w:t xml:space="preserve">увеличение </w:t>
      </w:r>
      <w:r w:rsidRPr="00453870">
        <w:rPr>
          <w:rFonts w:ascii="Verdana" w:hAnsi="Verdana"/>
          <w:b/>
          <w:sz w:val="24"/>
          <w:szCs w:val="24"/>
        </w:rPr>
        <w:t>экспорта</w:t>
      </w:r>
      <w:r w:rsidRPr="00453870">
        <w:rPr>
          <w:rFonts w:ascii="Verdana" w:hAnsi="Verdana"/>
          <w:sz w:val="24"/>
          <w:szCs w:val="24"/>
        </w:rPr>
        <w:t xml:space="preserve"> </w:t>
      </w:r>
      <w:r w:rsidRPr="00453870">
        <w:rPr>
          <w:rFonts w:ascii="Verdana" w:hAnsi="Verdana"/>
          <w:sz w:val="24"/>
          <w:szCs w:val="24"/>
          <w:lang w:eastAsia="ru-RU"/>
        </w:rPr>
        <w:t>нефтегазохимической продукции</w:t>
      </w:r>
      <w:r w:rsidRPr="00D201C1">
        <w:rPr>
          <w:rFonts w:ascii="Verdana" w:hAnsi="Verdana"/>
          <w:b/>
          <w:sz w:val="24"/>
          <w:szCs w:val="24"/>
          <w:lang w:eastAsia="ru-RU"/>
        </w:rPr>
        <w:t xml:space="preserve"> в 3,2 раз</w:t>
      </w:r>
      <w:r w:rsidR="00081D47">
        <w:rPr>
          <w:rFonts w:ascii="Verdana" w:hAnsi="Verdana"/>
          <w:b/>
          <w:sz w:val="24"/>
          <w:szCs w:val="24"/>
          <w:lang w:eastAsia="ru-RU"/>
        </w:rPr>
        <w:t>а</w:t>
      </w:r>
      <w:r w:rsidR="00081D47" w:rsidRPr="00982175">
        <w:rPr>
          <w:rFonts w:ascii="Verdana" w:hAnsi="Verdana"/>
          <w:sz w:val="24"/>
          <w:szCs w:val="24"/>
          <w:lang w:eastAsia="ru-RU"/>
        </w:rPr>
        <w:t>,</w:t>
      </w:r>
      <w:r w:rsidRPr="00D201C1">
        <w:rPr>
          <w:rFonts w:ascii="Verdana" w:hAnsi="Verdana"/>
          <w:b/>
          <w:sz w:val="24"/>
          <w:szCs w:val="24"/>
          <w:lang w:eastAsia="ru-RU"/>
        </w:rPr>
        <w:t xml:space="preserve"> </w:t>
      </w:r>
      <w:r w:rsidRPr="008A4101">
        <w:rPr>
          <w:rFonts w:ascii="Verdana" w:hAnsi="Verdana"/>
          <w:sz w:val="24"/>
          <w:szCs w:val="24"/>
          <w:lang w:eastAsia="ru-RU"/>
        </w:rPr>
        <w:t xml:space="preserve">до 10,4 млн тонн в год. </w:t>
      </w:r>
    </w:p>
    <w:p w:rsidR="00A27475" w:rsidRPr="00D201C1" w:rsidRDefault="00414178" w:rsidP="00D201C1">
      <w:pPr>
        <w:spacing w:before="120" w:after="120" w:line="240" w:lineRule="auto"/>
        <w:jc w:val="both"/>
        <w:rPr>
          <w:rFonts w:ascii="Verdana" w:hAnsi="Verdana"/>
          <w:sz w:val="24"/>
          <w:szCs w:val="24"/>
        </w:rPr>
      </w:pPr>
      <w:r w:rsidRPr="008A4101">
        <w:rPr>
          <w:rFonts w:ascii="Verdana" w:hAnsi="Verdana"/>
          <w:sz w:val="24"/>
          <w:szCs w:val="24"/>
        </w:rPr>
        <w:t>Нефтегазохимия является высокотехнологичной отраслью промышленности</w:t>
      </w:r>
      <w:r w:rsidRPr="00D201C1">
        <w:rPr>
          <w:rFonts w:ascii="Verdana" w:hAnsi="Verdana"/>
          <w:sz w:val="24"/>
          <w:szCs w:val="24"/>
        </w:rPr>
        <w:t xml:space="preserve"> наравне с производством компьютерного оборудования, машиностроением и фармацевтикой. </w:t>
      </w:r>
      <w:r w:rsidR="001A7F16">
        <w:rPr>
          <w:rFonts w:ascii="Verdana" w:hAnsi="Verdana"/>
          <w:sz w:val="24"/>
          <w:szCs w:val="24"/>
        </w:rPr>
        <w:t>О</w:t>
      </w:r>
      <w:r w:rsidR="004568B8" w:rsidRPr="004568B8">
        <w:rPr>
          <w:rFonts w:ascii="Verdana" w:hAnsi="Verdana"/>
          <w:sz w:val="24"/>
          <w:szCs w:val="24"/>
          <w:lang w:eastAsia="ru-RU"/>
        </w:rPr>
        <w:t xml:space="preserve">бладает </w:t>
      </w:r>
      <w:r w:rsidR="004568B8" w:rsidRPr="004568B8">
        <w:rPr>
          <w:rFonts w:ascii="Verdana" w:hAnsi="Verdana"/>
          <w:b/>
          <w:sz w:val="24"/>
          <w:szCs w:val="24"/>
          <w:lang w:eastAsia="ru-RU"/>
        </w:rPr>
        <w:t>высоким мультипликативным эффектом и способна ускорить трансформацию экономик к инновационной модели развития</w:t>
      </w:r>
      <w:r w:rsidR="004568B8" w:rsidRPr="004568B8">
        <w:rPr>
          <w:rFonts w:ascii="Verdana" w:hAnsi="Verdana"/>
          <w:sz w:val="24"/>
          <w:szCs w:val="24"/>
          <w:lang w:eastAsia="ru-RU"/>
        </w:rPr>
        <w:t xml:space="preserve"> (</w:t>
      </w:r>
      <w:r w:rsidR="004568B8" w:rsidRPr="004568B8">
        <w:rPr>
          <w:rFonts w:ascii="Verdana" w:hAnsi="Verdana"/>
          <w:i/>
          <w:szCs w:val="20"/>
          <w:lang w:eastAsia="ru-RU"/>
        </w:rPr>
        <w:t>увеличение выпуска в отрасли на 1 долл</w:t>
      </w:r>
      <w:r w:rsidR="00E62A75">
        <w:rPr>
          <w:rFonts w:ascii="Verdana" w:hAnsi="Verdana"/>
          <w:i/>
          <w:szCs w:val="20"/>
          <w:lang w:eastAsia="ru-RU"/>
        </w:rPr>
        <w:t>ар</w:t>
      </w:r>
      <w:r w:rsidR="004568B8" w:rsidRPr="004568B8">
        <w:rPr>
          <w:rFonts w:ascii="Verdana" w:hAnsi="Verdana"/>
          <w:i/>
          <w:szCs w:val="20"/>
          <w:lang w:eastAsia="ru-RU"/>
        </w:rPr>
        <w:t xml:space="preserve"> способно привести к увеличению валового выпуска в экономике на 2,62 долл</w:t>
      </w:r>
      <w:r w:rsidR="00E62A75">
        <w:rPr>
          <w:rFonts w:ascii="Verdana" w:hAnsi="Verdana"/>
          <w:i/>
          <w:szCs w:val="20"/>
          <w:lang w:eastAsia="ru-RU"/>
        </w:rPr>
        <w:t>ара</w:t>
      </w:r>
      <w:r w:rsidR="004568B8" w:rsidRPr="004568B8">
        <w:rPr>
          <w:rFonts w:ascii="Verdana" w:hAnsi="Verdana"/>
          <w:sz w:val="24"/>
          <w:szCs w:val="24"/>
          <w:lang w:eastAsia="ru-RU"/>
        </w:rPr>
        <w:t xml:space="preserve">). </w:t>
      </w:r>
    </w:p>
    <w:p w:rsidR="00A27475" w:rsidRDefault="00414178" w:rsidP="00642E45">
      <w:pPr>
        <w:spacing w:before="120" w:after="120" w:line="240" w:lineRule="auto"/>
        <w:jc w:val="both"/>
        <w:rPr>
          <w:rFonts w:ascii="Verdana" w:hAnsi="Verdana"/>
          <w:sz w:val="24"/>
          <w:szCs w:val="24"/>
        </w:rPr>
      </w:pPr>
      <w:r w:rsidRPr="00A27475">
        <w:rPr>
          <w:rFonts w:ascii="Verdana" w:hAnsi="Verdana"/>
          <w:sz w:val="24"/>
          <w:szCs w:val="24"/>
        </w:rPr>
        <w:t xml:space="preserve">Отрасль характеризуется </w:t>
      </w:r>
      <w:r w:rsidRPr="00D201C1">
        <w:rPr>
          <w:rFonts w:ascii="Verdana" w:hAnsi="Verdana"/>
          <w:b/>
          <w:sz w:val="24"/>
          <w:szCs w:val="24"/>
        </w:rPr>
        <w:t>быстрым наращиванием добавленной стоимости в технологической цепочке</w:t>
      </w:r>
      <w:r w:rsidRPr="00A27475">
        <w:rPr>
          <w:rFonts w:ascii="Verdana" w:hAnsi="Verdana"/>
          <w:sz w:val="24"/>
          <w:szCs w:val="24"/>
        </w:rPr>
        <w:t xml:space="preserve"> (рис. </w:t>
      </w:r>
      <w:r w:rsidR="00D201C1">
        <w:rPr>
          <w:rFonts w:ascii="Verdana" w:hAnsi="Verdana"/>
          <w:sz w:val="24"/>
          <w:szCs w:val="24"/>
        </w:rPr>
        <w:t>А</w:t>
      </w:r>
      <w:r w:rsidRPr="00A27475">
        <w:rPr>
          <w:rFonts w:ascii="Verdana" w:hAnsi="Verdana"/>
          <w:sz w:val="24"/>
          <w:szCs w:val="24"/>
        </w:rPr>
        <w:t>). Продвижение производства вверх по переделам позволяет кратно нарастить со</w:t>
      </w:r>
      <w:r w:rsidRPr="00A27475">
        <w:rPr>
          <w:rFonts w:ascii="Verdana" w:hAnsi="Verdana"/>
          <w:sz w:val="24"/>
          <w:szCs w:val="24"/>
        </w:rPr>
        <w:t xml:space="preserve">здаваемую добавленную стоимость. Разница в ценах между базовым сырьем и конечной </w:t>
      </w:r>
      <w:r w:rsidRPr="00A27475">
        <w:rPr>
          <w:rFonts w:ascii="Verdana" w:hAnsi="Verdana"/>
          <w:sz w:val="24"/>
          <w:szCs w:val="24"/>
        </w:rPr>
        <w:lastRenderedPageBreak/>
        <w:t xml:space="preserve">полимерной продукцией может превышать 20 раз. Привлекательность глубоких переделов углеводородов </w:t>
      </w:r>
      <w:r w:rsidR="005E2848">
        <w:rPr>
          <w:rFonts w:ascii="Verdana" w:hAnsi="Verdana"/>
          <w:sz w:val="24"/>
          <w:szCs w:val="24"/>
        </w:rPr>
        <w:t>—</w:t>
      </w:r>
      <w:r w:rsidRPr="00A27475">
        <w:rPr>
          <w:rFonts w:ascii="Verdana" w:hAnsi="Verdana"/>
          <w:sz w:val="24"/>
          <w:szCs w:val="24"/>
        </w:rPr>
        <w:t xml:space="preserve"> не только в высокой прибыльности, но и в устойчивости бизнеса для добывающих</w:t>
      </w:r>
      <w:r w:rsidRPr="00A27475">
        <w:rPr>
          <w:rFonts w:ascii="Verdana" w:hAnsi="Verdana"/>
          <w:sz w:val="24"/>
          <w:szCs w:val="24"/>
        </w:rPr>
        <w:t xml:space="preserve"> и перерабатывающих компаний.</w:t>
      </w:r>
    </w:p>
    <w:p w:rsidR="00A27475" w:rsidRPr="00926BA6" w:rsidRDefault="00414178" w:rsidP="00642E45">
      <w:pPr>
        <w:spacing w:before="120" w:after="120" w:line="240" w:lineRule="auto"/>
        <w:rPr>
          <w:rFonts w:ascii="Verdana" w:hAnsi="Verdana"/>
          <w:b/>
          <w:sz w:val="20"/>
          <w:szCs w:val="24"/>
          <w:lang w:eastAsia="ru-RU"/>
        </w:rPr>
      </w:pPr>
      <w:r w:rsidRPr="00926BA6">
        <w:rPr>
          <w:rFonts w:ascii="Verdana" w:hAnsi="Verdana"/>
          <w:b/>
          <w:sz w:val="20"/>
          <w:szCs w:val="24"/>
          <w:lang w:eastAsia="ru-RU"/>
        </w:rPr>
        <w:t xml:space="preserve">Рисунок </w:t>
      </w:r>
      <w:r w:rsidR="00642E45">
        <w:rPr>
          <w:rFonts w:ascii="Verdana" w:hAnsi="Verdana"/>
          <w:b/>
          <w:sz w:val="20"/>
          <w:szCs w:val="24"/>
          <w:lang w:eastAsia="ru-RU"/>
        </w:rPr>
        <w:t>А</w:t>
      </w:r>
      <w:r w:rsidRPr="00926BA6">
        <w:rPr>
          <w:rFonts w:ascii="Verdana" w:hAnsi="Verdana"/>
          <w:b/>
          <w:sz w:val="20"/>
          <w:szCs w:val="24"/>
          <w:lang w:eastAsia="ru-RU"/>
        </w:rPr>
        <w:t>. Стоимость 1 тонны товара по переделам от сырья к готовой продукции</w:t>
      </w:r>
    </w:p>
    <w:p w:rsidR="00A27475" w:rsidRDefault="00414178" w:rsidP="00642E45">
      <w:pPr>
        <w:spacing w:before="120" w:after="120" w:line="240" w:lineRule="auto"/>
        <w:rPr>
          <w:rFonts w:ascii="Verdana" w:hAnsi="Verdana"/>
          <w:szCs w:val="24"/>
          <w:lang w:eastAsia="ru-RU"/>
        </w:rPr>
      </w:pPr>
      <w:r w:rsidRPr="000B55E3">
        <w:rPr>
          <w:rFonts w:ascii="Verdana" w:hAnsi="Verdana"/>
          <w:noProof/>
          <w:szCs w:val="24"/>
          <w:shd w:val="clear" w:color="auto" w:fill="FFFFFF"/>
          <w:lang w:eastAsia="ru-RU"/>
        </w:rPr>
        <w:drawing>
          <wp:inline distT="0" distB="0" distL="0" distR="0">
            <wp:extent cx="6107490" cy="2700068"/>
            <wp:effectExtent l="0" t="0" r="7620" b="5080"/>
            <wp:docPr id="19" name="Рисунок 19" descr="N:\Дирекция по аналитической работе\Проекты\2023 Химическая промышленность\Инфографики\отрисованные\2512\EBD_info_recycling_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529202" name="Picture 4" descr="N:\Дирекция по аналитической работе\Проекты\2023 Химическая промышленность\Инфографики\отрисованные\2512\EBD_info_recycling_2023.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184202" cy="2733982"/>
                    </a:xfrm>
                    <a:prstGeom prst="rect">
                      <a:avLst/>
                    </a:prstGeom>
                    <a:noFill/>
                    <a:ln>
                      <a:noFill/>
                    </a:ln>
                    <a:extLst>
                      <a:ext uri="{53640926-AAD7-44D8-BBD7-CCE9431645EC}">
                        <a14:shadowObscured xmlns:a14="http://schemas.microsoft.com/office/drawing/2010/main"/>
                      </a:ext>
                    </a:extLst>
                  </pic:spPr>
                </pic:pic>
              </a:graphicData>
            </a:graphic>
          </wp:inline>
        </w:drawing>
      </w:r>
    </w:p>
    <w:p w:rsidR="00A27475" w:rsidRPr="00982175" w:rsidRDefault="00414178" w:rsidP="00642E45">
      <w:pPr>
        <w:spacing w:before="120" w:after="120" w:line="240" w:lineRule="auto"/>
        <w:rPr>
          <w:rFonts w:ascii="Verdana" w:hAnsi="Verdana"/>
          <w:i/>
          <w:sz w:val="18"/>
          <w:szCs w:val="24"/>
          <w:lang w:eastAsia="ru-RU"/>
        </w:rPr>
      </w:pPr>
      <w:r w:rsidRPr="00982175">
        <w:rPr>
          <w:rFonts w:ascii="Verdana" w:hAnsi="Verdana"/>
          <w:b/>
          <w:i/>
          <w:sz w:val="18"/>
          <w:szCs w:val="24"/>
          <w:lang w:eastAsia="ru-RU"/>
        </w:rPr>
        <w:t xml:space="preserve">Источник: </w:t>
      </w:r>
      <w:r w:rsidRPr="00982175">
        <w:rPr>
          <w:rFonts w:ascii="Verdana" w:hAnsi="Verdana"/>
          <w:i/>
          <w:sz w:val="18"/>
          <w:szCs w:val="24"/>
          <w:lang w:eastAsia="ru-RU"/>
        </w:rPr>
        <w:t>Иванов, 2016</w:t>
      </w:r>
    </w:p>
    <w:p w:rsidR="00642E45" w:rsidRPr="00642E45" w:rsidRDefault="00414178" w:rsidP="00642E45">
      <w:pPr>
        <w:spacing w:before="120" w:after="120" w:line="240" w:lineRule="auto"/>
        <w:jc w:val="both"/>
        <w:rPr>
          <w:rFonts w:ascii="Verdana" w:hAnsi="Verdana"/>
          <w:sz w:val="24"/>
          <w:szCs w:val="24"/>
        </w:rPr>
      </w:pPr>
      <w:r w:rsidRPr="008A4101">
        <w:rPr>
          <w:rFonts w:ascii="Verdana" w:hAnsi="Verdana"/>
          <w:sz w:val="24"/>
          <w:szCs w:val="24"/>
          <w:lang w:eastAsia="ru-RU"/>
        </w:rPr>
        <w:t xml:space="preserve">Становление сильной нефтегазохимии выступает естественным приоритетом экономической политики государств Евразийского </w:t>
      </w:r>
      <w:r w:rsidRPr="008A4101">
        <w:rPr>
          <w:rFonts w:ascii="Verdana" w:hAnsi="Verdana"/>
          <w:sz w:val="24"/>
          <w:szCs w:val="24"/>
          <w:lang w:eastAsia="ru-RU"/>
        </w:rPr>
        <w:t>региона</w:t>
      </w:r>
      <w:r w:rsidRPr="00642E45">
        <w:rPr>
          <w:rFonts w:ascii="Verdana" w:hAnsi="Verdana"/>
          <w:sz w:val="24"/>
          <w:szCs w:val="24"/>
          <w:lang w:eastAsia="ru-RU"/>
        </w:rPr>
        <w:t xml:space="preserve">. </w:t>
      </w:r>
      <w:r w:rsidRPr="00642E45">
        <w:rPr>
          <w:rFonts w:ascii="Verdana" w:hAnsi="Verdana"/>
          <w:sz w:val="24"/>
          <w:szCs w:val="24"/>
        </w:rPr>
        <w:t>Для этого имеются все предпосылки:</w:t>
      </w:r>
      <w:r>
        <w:rPr>
          <w:rFonts w:ascii="Verdana" w:hAnsi="Verdana"/>
          <w:sz w:val="24"/>
          <w:szCs w:val="24"/>
        </w:rPr>
        <w:t xml:space="preserve"> </w:t>
      </w:r>
    </w:p>
    <w:p w:rsidR="00642E45" w:rsidRPr="00642E45" w:rsidRDefault="00414178" w:rsidP="00642E45">
      <w:pPr>
        <w:pStyle w:val="a9"/>
        <w:numPr>
          <w:ilvl w:val="0"/>
          <w:numId w:val="13"/>
        </w:numPr>
        <w:spacing w:before="120" w:after="120" w:line="240" w:lineRule="auto"/>
        <w:contextualSpacing w:val="0"/>
        <w:jc w:val="both"/>
        <w:rPr>
          <w:rFonts w:ascii="Verdana" w:hAnsi="Verdana"/>
          <w:sz w:val="24"/>
          <w:szCs w:val="24"/>
        </w:rPr>
      </w:pPr>
      <w:r>
        <w:rPr>
          <w:rFonts w:ascii="Verdana" w:hAnsi="Verdana"/>
          <w:b/>
          <w:sz w:val="24"/>
          <w:szCs w:val="24"/>
        </w:rPr>
        <w:t>М</w:t>
      </w:r>
      <w:r w:rsidRPr="00642E45">
        <w:rPr>
          <w:rFonts w:ascii="Verdana" w:hAnsi="Verdana"/>
          <w:b/>
          <w:sz w:val="24"/>
          <w:szCs w:val="24"/>
        </w:rPr>
        <w:t>ощны</w:t>
      </w:r>
      <w:r>
        <w:rPr>
          <w:rFonts w:ascii="Verdana" w:hAnsi="Verdana"/>
          <w:b/>
          <w:sz w:val="24"/>
          <w:szCs w:val="24"/>
        </w:rPr>
        <w:t>й</w:t>
      </w:r>
      <w:r w:rsidRPr="00642E45">
        <w:rPr>
          <w:rFonts w:ascii="Verdana" w:hAnsi="Verdana"/>
          <w:b/>
          <w:sz w:val="24"/>
          <w:szCs w:val="24"/>
        </w:rPr>
        <w:t xml:space="preserve"> сырьев</w:t>
      </w:r>
      <w:r>
        <w:rPr>
          <w:rFonts w:ascii="Verdana" w:hAnsi="Verdana"/>
          <w:b/>
          <w:sz w:val="24"/>
          <w:szCs w:val="24"/>
        </w:rPr>
        <w:t>ой</w:t>
      </w:r>
      <w:r w:rsidRPr="00642E45">
        <w:rPr>
          <w:rFonts w:ascii="Verdana" w:hAnsi="Verdana"/>
          <w:b/>
          <w:sz w:val="24"/>
          <w:szCs w:val="24"/>
        </w:rPr>
        <w:t xml:space="preserve"> потенциал</w:t>
      </w:r>
      <w:r>
        <w:rPr>
          <w:rFonts w:ascii="Verdana" w:hAnsi="Verdana"/>
          <w:b/>
          <w:sz w:val="24"/>
          <w:szCs w:val="24"/>
        </w:rPr>
        <w:t>.</w:t>
      </w:r>
      <w:r w:rsidRPr="00642E45">
        <w:rPr>
          <w:rFonts w:ascii="Verdana" w:hAnsi="Verdana"/>
          <w:sz w:val="24"/>
          <w:szCs w:val="24"/>
        </w:rPr>
        <w:t xml:space="preserve"> Совокупные доказанные запасы нефти составляют 115 млрд баррелей </w:t>
      </w:r>
      <w:r w:rsidRPr="002F47C9">
        <w:rPr>
          <w:rFonts w:ascii="Verdana" w:hAnsi="Verdana"/>
          <w:sz w:val="24"/>
          <w:szCs w:val="24"/>
        </w:rPr>
        <w:t>(</w:t>
      </w:r>
      <w:r w:rsidRPr="00642E45">
        <w:rPr>
          <w:rFonts w:ascii="Verdana" w:hAnsi="Verdana"/>
          <w:i/>
          <w:sz w:val="24"/>
          <w:szCs w:val="24"/>
        </w:rPr>
        <w:t>более 7% мировых запасов</w:t>
      </w:r>
      <w:r w:rsidRPr="002F47C9">
        <w:rPr>
          <w:rFonts w:ascii="Verdana" w:hAnsi="Verdana"/>
          <w:sz w:val="24"/>
          <w:szCs w:val="24"/>
        </w:rPr>
        <w:t>)</w:t>
      </w:r>
      <w:r w:rsidRPr="00642E45">
        <w:rPr>
          <w:rFonts w:ascii="Verdana" w:hAnsi="Verdana"/>
          <w:sz w:val="24"/>
          <w:szCs w:val="24"/>
        </w:rPr>
        <w:t xml:space="preserve">, газа </w:t>
      </w:r>
      <w:r>
        <w:rPr>
          <w:rFonts w:ascii="Verdana" w:hAnsi="Verdana"/>
          <w:sz w:val="24"/>
          <w:szCs w:val="24"/>
        </w:rPr>
        <w:t>—</w:t>
      </w:r>
      <w:r w:rsidRPr="00642E45">
        <w:rPr>
          <w:rFonts w:ascii="Verdana" w:hAnsi="Verdana"/>
          <w:sz w:val="24"/>
          <w:szCs w:val="24"/>
        </w:rPr>
        <w:t xml:space="preserve"> 62,8 трлн м</w:t>
      </w:r>
      <w:r w:rsidRPr="00642E45">
        <w:rPr>
          <w:rFonts w:ascii="Verdana" w:hAnsi="Verdana"/>
          <w:sz w:val="24"/>
          <w:szCs w:val="24"/>
          <w:vertAlign w:val="superscript"/>
        </w:rPr>
        <w:t>3</w:t>
      </w:r>
      <w:r w:rsidRPr="00642E45">
        <w:rPr>
          <w:rFonts w:ascii="Verdana" w:hAnsi="Verdana"/>
          <w:sz w:val="24"/>
          <w:szCs w:val="24"/>
        </w:rPr>
        <w:t xml:space="preserve"> </w:t>
      </w:r>
      <w:r w:rsidRPr="00982175">
        <w:rPr>
          <w:rFonts w:ascii="Verdana" w:hAnsi="Verdana"/>
          <w:sz w:val="24"/>
          <w:szCs w:val="24"/>
        </w:rPr>
        <w:t>(</w:t>
      </w:r>
      <w:r w:rsidRPr="00642E45">
        <w:rPr>
          <w:rFonts w:ascii="Verdana" w:hAnsi="Verdana"/>
          <w:i/>
          <w:sz w:val="24"/>
          <w:szCs w:val="24"/>
        </w:rPr>
        <w:t>порядка 30% мировых запасов</w:t>
      </w:r>
      <w:r w:rsidRPr="00982175">
        <w:rPr>
          <w:rFonts w:ascii="Verdana" w:hAnsi="Verdana"/>
          <w:sz w:val="24"/>
          <w:szCs w:val="24"/>
        </w:rPr>
        <w:t>)</w:t>
      </w:r>
      <w:r w:rsidRPr="00642E45">
        <w:rPr>
          <w:rFonts w:ascii="Verdana" w:hAnsi="Verdana"/>
          <w:sz w:val="24"/>
          <w:szCs w:val="24"/>
        </w:rPr>
        <w:t>.</w:t>
      </w:r>
    </w:p>
    <w:p w:rsidR="00642E45" w:rsidRPr="00642E45" w:rsidRDefault="00414178" w:rsidP="00642E45">
      <w:pPr>
        <w:pStyle w:val="a9"/>
        <w:numPr>
          <w:ilvl w:val="0"/>
          <w:numId w:val="13"/>
        </w:numPr>
        <w:spacing w:before="120" w:after="120" w:line="240" w:lineRule="auto"/>
        <w:contextualSpacing w:val="0"/>
        <w:jc w:val="both"/>
        <w:rPr>
          <w:rFonts w:ascii="Verdana" w:hAnsi="Verdana"/>
          <w:sz w:val="24"/>
          <w:szCs w:val="24"/>
        </w:rPr>
      </w:pPr>
      <w:r>
        <w:rPr>
          <w:rFonts w:ascii="Verdana" w:hAnsi="Verdana"/>
          <w:b/>
          <w:sz w:val="24"/>
          <w:szCs w:val="24"/>
        </w:rPr>
        <w:t xml:space="preserve">Исторический опыт </w:t>
      </w:r>
      <w:r w:rsidRPr="00642E45">
        <w:rPr>
          <w:rFonts w:ascii="Verdana" w:hAnsi="Verdana"/>
          <w:b/>
          <w:sz w:val="24"/>
          <w:szCs w:val="24"/>
        </w:rPr>
        <w:t>развити</w:t>
      </w:r>
      <w:r>
        <w:rPr>
          <w:rFonts w:ascii="Verdana" w:hAnsi="Verdana"/>
          <w:b/>
          <w:sz w:val="24"/>
          <w:szCs w:val="24"/>
        </w:rPr>
        <w:t>я</w:t>
      </w:r>
      <w:r w:rsidRPr="00642E45">
        <w:rPr>
          <w:rFonts w:ascii="Verdana" w:hAnsi="Verdana"/>
          <w:b/>
          <w:sz w:val="24"/>
          <w:szCs w:val="24"/>
        </w:rPr>
        <w:t xml:space="preserve"> нефтегазохимии</w:t>
      </w:r>
      <w:r w:rsidRPr="00642E45">
        <w:rPr>
          <w:rFonts w:ascii="Verdana" w:hAnsi="Verdana"/>
          <w:sz w:val="24"/>
          <w:szCs w:val="24"/>
        </w:rPr>
        <w:t>, включая производств</w:t>
      </w:r>
      <w:r>
        <w:rPr>
          <w:rFonts w:ascii="Verdana" w:hAnsi="Verdana"/>
          <w:sz w:val="24"/>
          <w:szCs w:val="24"/>
        </w:rPr>
        <w:t>о</w:t>
      </w:r>
      <w:r w:rsidRPr="00642E45">
        <w:rPr>
          <w:rFonts w:ascii="Verdana" w:hAnsi="Verdana"/>
          <w:sz w:val="24"/>
          <w:szCs w:val="24"/>
        </w:rPr>
        <w:t xml:space="preserve"> и создание научно-т</w:t>
      </w:r>
      <w:r>
        <w:rPr>
          <w:rFonts w:ascii="Verdana" w:hAnsi="Verdana"/>
          <w:sz w:val="24"/>
          <w:szCs w:val="24"/>
        </w:rPr>
        <w:t>ехнологического базиса отрасли</w:t>
      </w:r>
      <w:r w:rsidRPr="00642E45">
        <w:rPr>
          <w:rFonts w:ascii="Verdana" w:hAnsi="Verdana"/>
          <w:sz w:val="24"/>
          <w:szCs w:val="24"/>
        </w:rPr>
        <w:t>.</w:t>
      </w:r>
    </w:p>
    <w:p w:rsidR="00642E45" w:rsidRPr="00642E45" w:rsidRDefault="00414178" w:rsidP="00642E45">
      <w:pPr>
        <w:pStyle w:val="a9"/>
        <w:numPr>
          <w:ilvl w:val="0"/>
          <w:numId w:val="13"/>
        </w:numPr>
        <w:spacing w:before="120" w:after="120" w:line="240" w:lineRule="auto"/>
        <w:contextualSpacing w:val="0"/>
        <w:jc w:val="both"/>
        <w:rPr>
          <w:rFonts w:ascii="Verdana" w:hAnsi="Verdana"/>
          <w:sz w:val="24"/>
          <w:szCs w:val="24"/>
        </w:rPr>
      </w:pPr>
      <w:r>
        <w:rPr>
          <w:rFonts w:ascii="Verdana" w:hAnsi="Verdana"/>
          <w:b/>
          <w:sz w:val="24"/>
          <w:szCs w:val="24"/>
        </w:rPr>
        <w:t>А</w:t>
      </w:r>
      <w:r w:rsidRPr="008A4101">
        <w:rPr>
          <w:rFonts w:ascii="Verdana" w:hAnsi="Verdana"/>
          <w:b/>
          <w:sz w:val="24"/>
          <w:szCs w:val="24"/>
        </w:rPr>
        <w:t>ктивная</w:t>
      </w:r>
      <w:r w:rsidRPr="00642E45">
        <w:rPr>
          <w:rFonts w:ascii="Verdana" w:hAnsi="Verdana"/>
          <w:sz w:val="24"/>
          <w:szCs w:val="24"/>
        </w:rPr>
        <w:t xml:space="preserve"> </w:t>
      </w:r>
      <w:r w:rsidRPr="00642E45">
        <w:rPr>
          <w:rFonts w:ascii="Verdana" w:hAnsi="Verdana"/>
          <w:b/>
          <w:sz w:val="24"/>
          <w:szCs w:val="24"/>
        </w:rPr>
        <w:t>государственная политика</w:t>
      </w:r>
      <w:r w:rsidRPr="00982175">
        <w:rPr>
          <w:rFonts w:ascii="Verdana" w:hAnsi="Verdana"/>
          <w:sz w:val="24"/>
          <w:szCs w:val="24"/>
        </w:rPr>
        <w:t>,</w:t>
      </w:r>
      <w:r w:rsidRPr="00642E45">
        <w:rPr>
          <w:rFonts w:ascii="Verdana" w:hAnsi="Verdana"/>
          <w:b/>
          <w:sz w:val="24"/>
          <w:szCs w:val="24"/>
        </w:rPr>
        <w:t xml:space="preserve"> </w:t>
      </w:r>
      <w:r w:rsidRPr="008A4101">
        <w:rPr>
          <w:rFonts w:ascii="Verdana" w:hAnsi="Verdana"/>
          <w:sz w:val="24"/>
          <w:szCs w:val="24"/>
        </w:rPr>
        <w:t>ориентированная на развитие нефтегазохимических проектов.</w:t>
      </w:r>
      <w:r w:rsidRPr="00642E45">
        <w:rPr>
          <w:rFonts w:ascii="Verdana" w:hAnsi="Verdana"/>
          <w:sz w:val="24"/>
          <w:szCs w:val="24"/>
        </w:rPr>
        <w:t xml:space="preserve"> На стадии реализации свыше 20 крупных нефтегазохимических проектов на общую сумму более 2</w:t>
      </w:r>
      <w:r w:rsidRPr="00642E45">
        <w:rPr>
          <w:rFonts w:ascii="Verdana" w:hAnsi="Verdana"/>
          <w:sz w:val="24"/>
          <w:szCs w:val="24"/>
        </w:rPr>
        <w:t xml:space="preserve">00 млрд </w:t>
      </w:r>
      <w:r w:rsidR="00E62A75">
        <w:rPr>
          <w:rFonts w:ascii="Verdana" w:hAnsi="Verdana"/>
          <w:sz w:val="24"/>
          <w:szCs w:val="24"/>
        </w:rPr>
        <w:t>долларов</w:t>
      </w:r>
      <w:r>
        <w:rPr>
          <w:rFonts w:ascii="Verdana" w:hAnsi="Verdana"/>
          <w:sz w:val="24"/>
          <w:szCs w:val="24"/>
        </w:rPr>
        <w:t>.</w:t>
      </w:r>
    </w:p>
    <w:p w:rsidR="00642E45" w:rsidRPr="00642E45" w:rsidRDefault="00414178" w:rsidP="00642E45">
      <w:pPr>
        <w:pStyle w:val="a9"/>
        <w:numPr>
          <w:ilvl w:val="0"/>
          <w:numId w:val="13"/>
        </w:numPr>
        <w:spacing w:before="120" w:after="120" w:line="240" w:lineRule="auto"/>
        <w:contextualSpacing w:val="0"/>
        <w:jc w:val="both"/>
        <w:rPr>
          <w:rFonts w:ascii="Verdana" w:hAnsi="Verdana"/>
          <w:sz w:val="24"/>
          <w:szCs w:val="24"/>
        </w:rPr>
      </w:pPr>
      <w:r w:rsidRPr="008A4101">
        <w:rPr>
          <w:rFonts w:ascii="Verdana" w:hAnsi="Verdana"/>
          <w:sz w:val="24"/>
          <w:szCs w:val="24"/>
        </w:rPr>
        <w:t>Регион находится в</w:t>
      </w:r>
      <w:r w:rsidRPr="00642E45">
        <w:rPr>
          <w:rFonts w:ascii="Verdana" w:hAnsi="Verdana"/>
          <w:b/>
          <w:sz w:val="24"/>
          <w:szCs w:val="24"/>
        </w:rPr>
        <w:t xml:space="preserve"> географической близости</w:t>
      </w:r>
      <w:r w:rsidRPr="00642E45">
        <w:rPr>
          <w:rFonts w:ascii="Verdana" w:hAnsi="Verdana"/>
          <w:sz w:val="24"/>
          <w:szCs w:val="24"/>
        </w:rPr>
        <w:t xml:space="preserve"> </w:t>
      </w:r>
      <w:r w:rsidRPr="008A4101">
        <w:rPr>
          <w:rFonts w:ascii="Verdana" w:hAnsi="Verdana"/>
          <w:b/>
          <w:sz w:val="24"/>
          <w:szCs w:val="24"/>
        </w:rPr>
        <w:t>к перспективным рынкам сбыт</w:t>
      </w:r>
      <w:r w:rsidR="008A4101" w:rsidRPr="008A4101">
        <w:rPr>
          <w:rFonts w:ascii="Verdana" w:hAnsi="Verdana"/>
          <w:b/>
          <w:sz w:val="24"/>
          <w:szCs w:val="24"/>
        </w:rPr>
        <w:t>а</w:t>
      </w:r>
      <w:r w:rsidR="008A4101">
        <w:rPr>
          <w:rFonts w:ascii="Verdana" w:hAnsi="Verdana"/>
          <w:sz w:val="24"/>
          <w:szCs w:val="24"/>
        </w:rPr>
        <w:t>, таким как</w:t>
      </w:r>
      <w:r>
        <w:rPr>
          <w:rFonts w:ascii="Verdana" w:hAnsi="Verdana"/>
          <w:sz w:val="24"/>
          <w:szCs w:val="24"/>
        </w:rPr>
        <w:t xml:space="preserve"> </w:t>
      </w:r>
      <w:r w:rsidRPr="00642E45">
        <w:rPr>
          <w:rFonts w:ascii="Verdana" w:hAnsi="Verdana"/>
          <w:sz w:val="24"/>
          <w:szCs w:val="24"/>
        </w:rPr>
        <w:t>Азиатско-Тихоокеанск</w:t>
      </w:r>
      <w:r w:rsidR="008A4101">
        <w:rPr>
          <w:rFonts w:ascii="Verdana" w:hAnsi="Verdana"/>
          <w:sz w:val="24"/>
          <w:szCs w:val="24"/>
        </w:rPr>
        <w:t>ий</w:t>
      </w:r>
      <w:r w:rsidRPr="00642E45">
        <w:rPr>
          <w:rFonts w:ascii="Verdana" w:hAnsi="Verdana"/>
          <w:sz w:val="24"/>
          <w:szCs w:val="24"/>
        </w:rPr>
        <w:t xml:space="preserve"> регион</w:t>
      </w:r>
      <w:r>
        <w:rPr>
          <w:rFonts w:ascii="Verdana" w:hAnsi="Verdana"/>
          <w:sz w:val="24"/>
          <w:szCs w:val="24"/>
        </w:rPr>
        <w:t xml:space="preserve"> </w:t>
      </w:r>
      <w:r w:rsidRPr="00642E45">
        <w:rPr>
          <w:rFonts w:ascii="Verdana" w:hAnsi="Verdana"/>
          <w:sz w:val="24"/>
          <w:szCs w:val="24"/>
        </w:rPr>
        <w:t>и Индия</w:t>
      </w:r>
      <w:r>
        <w:rPr>
          <w:rFonts w:ascii="Verdana" w:hAnsi="Verdana"/>
          <w:sz w:val="24"/>
          <w:szCs w:val="24"/>
        </w:rPr>
        <w:t xml:space="preserve">. </w:t>
      </w:r>
      <w:r w:rsidR="00345F2D">
        <w:rPr>
          <w:rFonts w:ascii="Verdana" w:hAnsi="Verdana"/>
          <w:sz w:val="24"/>
          <w:szCs w:val="24"/>
        </w:rPr>
        <w:t>К 2035 г</w:t>
      </w:r>
      <w:r w:rsidR="005217BF">
        <w:rPr>
          <w:rFonts w:ascii="Verdana" w:hAnsi="Verdana"/>
          <w:sz w:val="24"/>
          <w:szCs w:val="24"/>
        </w:rPr>
        <w:t>оду</w:t>
      </w:r>
      <w:r w:rsidR="00345F2D">
        <w:rPr>
          <w:rFonts w:ascii="Verdana" w:hAnsi="Verdana"/>
          <w:sz w:val="24"/>
          <w:szCs w:val="24"/>
        </w:rPr>
        <w:t xml:space="preserve"> э</w:t>
      </w:r>
      <w:r>
        <w:rPr>
          <w:rFonts w:ascii="Verdana" w:hAnsi="Verdana"/>
          <w:sz w:val="24"/>
          <w:szCs w:val="24"/>
        </w:rPr>
        <w:t xml:space="preserve">ти страны </w:t>
      </w:r>
      <w:r w:rsidRPr="00642E45">
        <w:rPr>
          <w:rFonts w:ascii="Verdana" w:hAnsi="Verdana"/>
          <w:sz w:val="24"/>
          <w:szCs w:val="24"/>
        </w:rPr>
        <w:t>обеспечат более 40% мирового рынка нефтегазохимии.</w:t>
      </w:r>
    </w:p>
    <w:p w:rsidR="00642E45" w:rsidRPr="00642E45" w:rsidRDefault="00414178" w:rsidP="00642E45">
      <w:pPr>
        <w:spacing w:before="120" w:after="120" w:line="240" w:lineRule="auto"/>
        <w:jc w:val="both"/>
        <w:rPr>
          <w:rFonts w:ascii="Verdana" w:hAnsi="Verdana"/>
          <w:sz w:val="24"/>
          <w:szCs w:val="24"/>
          <w:lang w:eastAsia="ru-RU"/>
        </w:rPr>
      </w:pPr>
      <w:r w:rsidRPr="00642E45">
        <w:rPr>
          <w:rFonts w:ascii="Verdana" w:hAnsi="Verdana"/>
          <w:b/>
          <w:sz w:val="24"/>
          <w:szCs w:val="24"/>
          <w:lang w:eastAsia="ru-RU"/>
        </w:rPr>
        <w:t xml:space="preserve">Структурные изменения </w:t>
      </w:r>
      <w:r w:rsidRPr="008A4101">
        <w:rPr>
          <w:rFonts w:ascii="Verdana" w:hAnsi="Verdana"/>
          <w:sz w:val="24"/>
          <w:szCs w:val="24"/>
          <w:lang w:eastAsia="ru-RU"/>
        </w:rPr>
        <w:t xml:space="preserve">в мировой </w:t>
      </w:r>
      <w:r w:rsidRPr="008A4101">
        <w:rPr>
          <w:rFonts w:ascii="Verdana" w:hAnsi="Verdana"/>
          <w:sz w:val="24"/>
          <w:szCs w:val="24"/>
          <w:lang w:eastAsia="ru-RU"/>
        </w:rPr>
        <w:t>нефтегазохимической промышленности создают</w:t>
      </w:r>
      <w:r w:rsidRPr="00642E45">
        <w:rPr>
          <w:rFonts w:ascii="Verdana" w:hAnsi="Verdana"/>
          <w:b/>
          <w:sz w:val="24"/>
          <w:szCs w:val="24"/>
          <w:lang w:eastAsia="ru-RU"/>
        </w:rPr>
        <w:t xml:space="preserve"> долгосрочные преимущества для стран Евразийского региона</w:t>
      </w:r>
      <w:r w:rsidRPr="00982175">
        <w:rPr>
          <w:rFonts w:ascii="Verdana" w:hAnsi="Verdana"/>
          <w:sz w:val="24"/>
          <w:szCs w:val="24"/>
          <w:lang w:eastAsia="ru-RU"/>
        </w:rPr>
        <w:t>.</w:t>
      </w:r>
      <w:r w:rsidRPr="00642E45">
        <w:rPr>
          <w:rFonts w:ascii="Verdana" w:hAnsi="Verdana"/>
          <w:sz w:val="24"/>
          <w:szCs w:val="24"/>
          <w:lang w:eastAsia="ru-RU"/>
        </w:rPr>
        <w:t xml:space="preserve"> В глобальной экономике наблюдается новый энергетический переход, который в целом тесно взаимоувязан с повышением глубины переработки нефтегазохимической пр</w:t>
      </w:r>
      <w:r w:rsidRPr="00642E45">
        <w:rPr>
          <w:rFonts w:ascii="Verdana" w:hAnsi="Verdana"/>
          <w:sz w:val="24"/>
          <w:szCs w:val="24"/>
          <w:lang w:eastAsia="ru-RU"/>
        </w:rPr>
        <w:t xml:space="preserve">одукции. Для качественного технологического рывка требуется полимерное сырье </w:t>
      </w:r>
      <w:r w:rsidRPr="00982175">
        <w:rPr>
          <w:rFonts w:ascii="Verdana" w:hAnsi="Verdana"/>
          <w:sz w:val="24"/>
          <w:szCs w:val="24"/>
          <w:lang w:eastAsia="ru-RU"/>
        </w:rPr>
        <w:t>(</w:t>
      </w:r>
      <w:r w:rsidRPr="00642E45">
        <w:rPr>
          <w:rFonts w:ascii="Verdana" w:hAnsi="Verdana"/>
          <w:i/>
          <w:sz w:val="24"/>
          <w:szCs w:val="24"/>
          <w:lang w:eastAsia="ru-RU"/>
        </w:rPr>
        <w:t>например, из этилена производятся фотоэлементы солнечных электростанций</w:t>
      </w:r>
      <w:r w:rsidRPr="00982175">
        <w:rPr>
          <w:rFonts w:ascii="Verdana" w:hAnsi="Verdana"/>
          <w:sz w:val="24"/>
          <w:szCs w:val="24"/>
          <w:lang w:eastAsia="ru-RU"/>
        </w:rPr>
        <w:t>)</w:t>
      </w:r>
      <w:r w:rsidRPr="00642E45">
        <w:rPr>
          <w:rFonts w:ascii="Verdana" w:hAnsi="Verdana"/>
          <w:sz w:val="24"/>
          <w:szCs w:val="24"/>
          <w:lang w:eastAsia="ru-RU"/>
        </w:rPr>
        <w:t xml:space="preserve">. Мировой рынок нефтехимии будет расти с совокупным годовым темпом роста </w:t>
      </w:r>
      <w:r w:rsidRPr="00642E45">
        <w:rPr>
          <w:rFonts w:ascii="Verdana" w:hAnsi="Verdana"/>
          <w:b/>
          <w:sz w:val="24"/>
          <w:szCs w:val="24"/>
          <w:lang w:eastAsia="ru-RU"/>
        </w:rPr>
        <w:t>3</w:t>
      </w:r>
      <w:r w:rsidR="005217BF">
        <w:rPr>
          <w:rFonts w:ascii="Verdana" w:hAnsi="Verdana"/>
          <w:b/>
          <w:sz w:val="24"/>
          <w:szCs w:val="24"/>
          <w:lang w:eastAsia="ru-RU"/>
        </w:rPr>
        <w:t>–</w:t>
      </w:r>
      <w:r w:rsidRPr="00642E45">
        <w:rPr>
          <w:rFonts w:ascii="Verdana" w:hAnsi="Verdana"/>
          <w:b/>
          <w:sz w:val="24"/>
          <w:szCs w:val="24"/>
          <w:lang w:eastAsia="ru-RU"/>
        </w:rPr>
        <w:t>6% в год до 2035 г</w:t>
      </w:r>
      <w:r w:rsidR="005217BF">
        <w:rPr>
          <w:rFonts w:ascii="Verdana" w:hAnsi="Verdana"/>
          <w:b/>
          <w:sz w:val="24"/>
          <w:szCs w:val="24"/>
          <w:lang w:eastAsia="ru-RU"/>
        </w:rPr>
        <w:t>ода</w:t>
      </w:r>
      <w:r w:rsidRPr="00982175">
        <w:rPr>
          <w:rFonts w:ascii="Verdana" w:hAnsi="Verdana"/>
          <w:sz w:val="24"/>
          <w:szCs w:val="24"/>
          <w:lang w:eastAsia="ru-RU"/>
        </w:rPr>
        <w:t>.</w:t>
      </w:r>
      <w:r w:rsidRPr="00642E45">
        <w:rPr>
          <w:rFonts w:ascii="Verdana" w:hAnsi="Verdana"/>
          <w:sz w:val="24"/>
          <w:szCs w:val="24"/>
          <w:lang w:eastAsia="ru-RU"/>
        </w:rPr>
        <w:t xml:space="preserve"> При этом</w:t>
      </w:r>
      <w:r w:rsidRPr="00642E45">
        <w:rPr>
          <w:rFonts w:ascii="Verdana" w:hAnsi="Verdana"/>
          <w:sz w:val="24"/>
          <w:szCs w:val="24"/>
          <w:lang w:eastAsia="ru-RU"/>
        </w:rPr>
        <w:t xml:space="preserve"> 50% прироста </w:t>
      </w:r>
      <w:r w:rsidRPr="00642E45">
        <w:rPr>
          <w:rFonts w:ascii="Verdana" w:hAnsi="Verdana"/>
          <w:sz w:val="24"/>
          <w:szCs w:val="24"/>
          <w:lang w:eastAsia="ru-RU"/>
        </w:rPr>
        <w:lastRenderedPageBreak/>
        <w:t>мирового спроса на сырую нефть к 2050 г</w:t>
      </w:r>
      <w:r w:rsidR="005217BF">
        <w:rPr>
          <w:rFonts w:ascii="Verdana" w:hAnsi="Verdana"/>
          <w:sz w:val="24"/>
          <w:szCs w:val="24"/>
          <w:lang w:eastAsia="ru-RU"/>
        </w:rPr>
        <w:t>оду</w:t>
      </w:r>
      <w:r w:rsidRPr="00642E45">
        <w:rPr>
          <w:rFonts w:ascii="Verdana" w:hAnsi="Verdana"/>
          <w:sz w:val="24"/>
          <w:szCs w:val="24"/>
          <w:lang w:eastAsia="ru-RU"/>
        </w:rPr>
        <w:t xml:space="preserve"> будет обеспечено за сч</w:t>
      </w:r>
      <w:r w:rsidR="005217BF">
        <w:rPr>
          <w:rFonts w:ascii="Verdana" w:hAnsi="Verdana"/>
          <w:sz w:val="24"/>
          <w:szCs w:val="24"/>
          <w:lang w:eastAsia="ru-RU"/>
        </w:rPr>
        <w:t>е</w:t>
      </w:r>
      <w:r w:rsidRPr="00642E45">
        <w:rPr>
          <w:rFonts w:ascii="Verdana" w:hAnsi="Verdana"/>
          <w:sz w:val="24"/>
          <w:szCs w:val="24"/>
          <w:lang w:eastAsia="ru-RU"/>
        </w:rPr>
        <w:t>т развития нефтегазохимической промышленности. В связи с этим возраст</w:t>
      </w:r>
      <w:r w:rsidR="0000078C">
        <w:rPr>
          <w:rFonts w:ascii="Verdana" w:hAnsi="Verdana"/>
          <w:sz w:val="24"/>
          <w:szCs w:val="24"/>
          <w:lang w:eastAsia="ru-RU"/>
        </w:rPr>
        <w:t>ет</w:t>
      </w:r>
      <w:r w:rsidRPr="00642E45">
        <w:rPr>
          <w:rFonts w:ascii="Verdana" w:hAnsi="Verdana"/>
          <w:sz w:val="24"/>
          <w:szCs w:val="24"/>
          <w:lang w:eastAsia="ru-RU"/>
        </w:rPr>
        <w:t xml:space="preserve"> роль нефтегазохимических регионов со значительным сырьевым потенциалом.</w:t>
      </w:r>
    </w:p>
    <w:p w:rsidR="00642E45" w:rsidRPr="00642E45" w:rsidRDefault="00414178" w:rsidP="00642E45">
      <w:pPr>
        <w:spacing w:before="120" w:after="120" w:line="240" w:lineRule="auto"/>
        <w:jc w:val="both"/>
        <w:rPr>
          <w:rFonts w:ascii="Verdana" w:hAnsi="Verdana"/>
          <w:sz w:val="24"/>
          <w:szCs w:val="24"/>
        </w:rPr>
      </w:pPr>
      <w:r w:rsidRPr="000763AF">
        <w:rPr>
          <w:rFonts w:ascii="Verdana" w:hAnsi="Verdana"/>
          <w:sz w:val="24"/>
          <w:szCs w:val="24"/>
        </w:rPr>
        <w:t xml:space="preserve">Евразийский регион может </w:t>
      </w:r>
      <w:r w:rsidRPr="000763AF">
        <w:rPr>
          <w:rFonts w:ascii="Verdana" w:hAnsi="Verdana"/>
          <w:sz w:val="24"/>
          <w:szCs w:val="24"/>
        </w:rPr>
        <w:t>улучшить свои позиции в</w:t>
      </w:r>
      <w:r w:rsidR="000763AF">
        <w:rPr>
          <w:rFonts w:ascii="Verdana" w:hAnsi="Verdana"/>
          <w:b/>
          <w:sz w:val="24"/>
          <w:szCs w:val="24"/>
        </w:rPr>
        <w:t xml:space="preserve"> международном</w:t>
      </w:r>
      <w:r w:rsidRPr="00642E45">
        <w:rPr>
          <w:rFonts w:ascii="Verdana" w:hAnsi="Verdana"/>
          <w:b/>
          <w:sz w:val="24"/>
          <w:szCs w:val="24"/>
        </w:rPr>
        <w:t xml:space="preserve"> разделении труда</w:t>
      </w:r>
      <w:r w:rsidRPr="00982175">
        <w:rPr>
          <w:rFonts w:ascii="Verdana" w:hAnsi="Verdana"/>
          <w:sz w:val="24"/>
          <w:szCs w:val="24"/>
        </w:rPr>
        <w:t>.</w:t>
      </w:r>
      <w:r w:rsidRPr="00642E45">
        <w:rPr>
          <w:rFonts w:ascii="Verdana" w:hAnsi="Verdana"/>
          <w:b/>
          <w:sz w:val="24"/>
          <w:szCs w:val="24"/>
        </w:rPr>
        <w:t xml:space="preserve"> </w:t>
      </w:r>
      <w:r w:rsidRPr="00642E45">
        <w:rPr>
          <w:rFonts w:ascii="Verdana" w:hAnsi="Verdana"/>
          <w:sz w:val="24"/>
          <w:szCs w:val="24"/>
        </w:rPr>
        <w:t>На данный момент регион занимает всего 2,1% мировой нефтегазохимии и позиционируется как поставщик сырьевой продукции (</w:t>
      </w:r>
      <w:r w:rsidR="00C64DDD" w:rsidRPr="00C64DDD">
        <w:rPr>
          <w:rFonts w:ascii="Verdana" w:hAnsi="Verdana"/>
          <w:i/>
          <w:sz w:val="24"/>
          <w:szCs w:val="24"/>
        </w:rPr>
        <w:t xml:space="preserve">преимущественно </w:t>
      </w:r>
      <w:r w:rsidR="00C64DDD">
        <w:rPr>
          <w:rFonts w:ascii="Verdana" w:hAnsi="Verdana"/>
          <w:i/>
          <w:sz w:val="24"/>
          <w:szCs w:val="24"/>
        </w:rPr>
        <w:t xml:space="preserve">сырые </w:t>
      </w:r>
      <w:r w:rsidRPr="00642E45">
        <w:rPr>
          <w:rFonts w:ascii="Verdana" w:hAnsi="Verdana"/>
          <w:i/>
          <w:sz w:val="24"/>
          <w:szCs w:val="24"/>
        </w:rPr>
        <w:t>нефт</w:t>
      </w:r>
      <w:r w:rsidR="00345F2D">
        <w:rPr>
          <w:rFonts w:ascii="Verdana" w:hAnsi="Verdana"/>
          <w:i/>
          <w:sz w:val="24"/>
          <w:szCs w:val="24"/>
        </w:rPr>
        <w:t>ь</w:t>
      </w:r>
      <w:r w:rsidR="00C64DDD">
        <w:rPr>
          <w:rFonts w:ascii="Verdana" w:hAnsi="Verdana"/>
          <w:i/>
          <w:sz w:val="24"/>
          <w:szCs w:val="24"/>
        </w:rPr>
        <w:t xml:space="preserve"> и </w:t>
      </w:r>
      <w:r w:rsidRPr="00642E45">
        <w:rPr>
          <w:rFonts w:ascii="Verdana" w:hAnsi="Verdana"/>
          <w:i/>
          <w:sz w:val="24"/>
          <w:szCs w:val="24"/>
        </w:rPr>
        <w:t>газ</w:t>
      </w:r>
      <w:r w:rsidRPr="00642E45">
        <w:rPr>
          <w:rFonts w:ascii="Verdana" w:hAnsi="Verdana"/>
          <w:sz w:val="24"/>
          <w:szCs w:val="24"/>
        </w:rPr>
        <w:t>). Однако есть все предпосылки для трансформации</w:t>
      </w:r>
      <w:r w:rsidRPr="00642E45">
        <w:rPr>
          <w:rFonts w:ascii="Verdana" w:hAnsi="Verdana"/>
          <w:sz w:val="24"/>
          <w:szCs w:val="24"/>
        </w:rPr>
        <w:t xml:space="preserve"> региона в крупный мировой центр полимерного производства. С учетом высокого уровня технологичности нефтегазохимии и значительных мультипликативных эффектов ее развитие может содействовать выходу из зависимости от «колеи» предшествующего развития (</w:t>
      </w:r>
      <w:r w:rsidRPr="00642E45">
        <w:rPr>
          <w:rFonts w:ascii="Verdana" w:hAnsi="Verdana"/>
          <w:i/>
          <w:sz w:val="24"/>
          <w:szCs w:val="24"/>
          <w:lang w:val="en-US"/>
        </w:rPr>
        <w:t>path</w:t>
      </w:r>
      <w:r w:rsidRPr="00642E45">
        <w:rPr>
          <w:rFonts w:ascii="Verdana" w:hAnsi="Verdana"/>
          <w:i/>
          <w:sz w:val="24"/>
          <w:szCs w:val="24"/>
        </w:rPr>
        <w:t xml:space="preserve"> </w:t>
      </w:r>
      <w:r w:rsidRPr="00642E45">
        <w:rPr>
          <w:rFonts w:ascii="Verdana" w:hAnsi="Verdana"/>
          <w:i/>
          <w:sz w:val="24"/>
          <w:szCs w:val="24"/>
          <w:lang w:val="en-US"/>
        </w:rPr>
        <w:t>dep</w:t>
      </w:r>
      <w:r w:rsidRPr="00642E45">
        <w:rPr>
          <w:rFonts w:ascii="Verdana" w:hAnsi="Verdana"/>
          <w:i/>
          <w:sz w:val="24"/>
          <w:szCs w:val="24"/>
          <w:lang w:val="en-US"/>
        </w:rPr>
        <w:t>endence</w:t>
      </w:r>
      <w:r w:rsidRPr="00642E45">
        <w:rPr>
          <w:rFonts w:ascii="Verdana" w:hAnsi="Verdana"/>
          <w:sz w:val="24"/>
          <w:szCs w:val="24"/>
        </w:rPr>
        <w:t>), сформировавшейся за последние 30 лет.</w:t>
      </w:r>
    </w:p>
    <w:p w:rsidR="00AD66E9" w:rsidRDefault="00414178" w:rsidP="00642E45">
      <w:pPr>
        <w:spacing w:before="120" w:after="120" w:line="240" w:lineRule="auto"/>
        <w:jc w:val="both"/>
        <w:rPr>
          <w:rFonts w:ascii="Verdana" w:hAnsi="Verdana"/>
          <w:sz w:val="24"/>
          <w:szCs w:val="24"/>
        </w:rPr>
      </w:pPr>
      <w:r>
        <w:rPr>
          <w:rFonts w:ascii="Verdana" w:hAnsi="Verdana"/>
          <w:sz w:val="24"/>
          <w:szCs w:val="24"/>
        </w:rPr>
        <w:t>Аналитики ЕАБР</w:t>
      </w:r>
      <w:r w:rsidR="00660CCB" w:rsidRPr="00660CCB">
        <w:rPr>
          <w:rFonts w:ascii="Verdana" w:hAnsi="Verdana"/>
          <w:sz w:val="24"/>
          <w:szCs w:val="24"/>
        </w:rPr>
        <w:t xml:space="preserve"> </w:t>
      </w:r>
      <w:r w:rsidR="00660CCB" w:rsidRPr="004B6010">
        <w:rPr>
          <w:rFonts w:ascii="Verdana" w:hAnsi="Verdana"/>
          <w:sz w:val="24"/>
          <w:szCs w:val="24"/>
        </w:rPr>
        <w:t>предлага</w:t>
      </w:r>
      <w:r w:rsidR="00477471" w:rsidRPr="004B6010">
        <w:rPr>
          <w:rFonts w:ascii="Verdana" w:hAnsi="Verdana"/>
          <w:sz w:val="24"/>
          <w:szCs w:val="24"/>
        </w:rPr>
        <w:t>ю</w:t>
      </w:r>
      <w:r w:rsidR="00660CCB" w:rsidRPr="004B6010">
        <w:rPr>
          <w:rFonts w:ascii="Verdana" w:hAnsi="Verdana"/>
          <w:sz w:val="24"/>
          <w:szCs w:val="24"/>
        </w:rPr>
        <w:t>т сконцентрироваться на</w:t>
      </w:r>
      <w:r w:rsidR="00660CCB" w:rsidRPr="00395EC9">
        <w:rPr>
          <w:rFonts w:ascii="Verdana" w:hAnsi="Verdana"/>
          <w:b/>
          <w:sz w:val="24"/>
          <w:szCs w:val="24"/>
        </w:rPr>
        <w:t xml:space="preserve"> </w:t>
      </w:r>
      <w:r w:rsidR="001F18AF" w:rsidRPr="00982175">
        <w:rPr>
          <w:rFonts w:ascii="Verdana" w:hAnsi="Verdana"/>
          <w:b/>
          <w:sz w:val="24"/>
          <w:szCs w:val="24"/>
        </w:rPr>
        <w:t xml:space="preserve">5 </w:t>
      </w:r>
      <w:r w:rsidR="00BC0379" w:rsidRPr="00982175">
        <w:rPr>
          <w:rFonts w:ascii="Verdana" w:hAnsi="Verdana"/>
          <w:b/>
          <w:sz w:val="24"/>
          <w:szCs w:val="24"/>
        </w:rPr>
        <w:t xml:space="preserve">практических </w:t>
      </w:r>
      <w:r w:rsidR="001F18AF" w:rsidRPr="00982175">
        <w:rPr>
          <w:rFonts w:ascii="Verdana" w:hAnsi="Verdana"/>
          <w:b/>
          <w:sz w:val="24"/>
          <w:szCs w:val="24"/>
        </w:rPr>
        <w:t>блоках</w:t>
      </w:r>
      <w:r w:rsidR="001F18AF" w:rsidRPr="00395EC9">
        <w:rPr>
          <w:rFonts w:ascii="Verdana" w:hAnsi="Verdana"/>
          <w:b/>
          <w:sz w:val="24"/>
          <w:szCs w:val="24"/>
        </w:rPr>
        <w:t xml:space="preserve"> мер</w:t>
      </w:r>
      <w:r w:rsidR="00477471" w:rsidRPr="00982175">
        <w:rPr>
          <w:rFonts w:ascii="Verdana" w:hAnsi="Verdana"/>
          <w:sz w:val="24"/>
          <w:szCs w:val="24"/>
        </w:rPr>
        <w:t>,</w:t>
      </w:r>
      <w:r w:rsidR="00477471">
        <w:rPr>
          <w:rFonts w:ascii="Verdana" w:hAnsi="Verdana"/>
          <w:sz w:val="24"/>
          <w:szCs w:val="24"/>
        </w:rPr>
        <w:t xml:space="preserve"> в</w:t>
      </w:r>
      <w:r w:rsidR="00660CCB" w:rsidRPr="00660CCB">
        <w:rPr>
          <w:rFonts w:ascii="Verdana" w:hAnsi="Verdana"/>
          <w:sz w:val="24"/>
          <w:szCs w:val="24"/>
        </w:rPr>
        <w:t xml:space="preserve">ыполнение </w:t>
      </w:r>
      <w:r w:rsidR="00477471">
        <w:rPr>
          <w:rFonts w:ascii="Verdana" w:hAnsi="Verdana"/>
          <w:sz w:val="24"/>
          <w:szCs w:val="24"/>
        </w:rPr>
        <w:t>которых</w:t>
      </w:r>
      <w:r w:rsidR="00BC0379" w:rsidRPr="00BC0379">
        <w:rPr>
          <w:rFonts w:ascii="Verdana" w:hAnsi="Verdana"/>
          <w:sz w:val="24"/>
          <w:szCs w:val="24"/>
        </w:rPr>
        <w:t xml:space="preserve"> будет содействовать раскрытию имеющегося производственного и экспортного потенциала</w:t>
      </w:r>
      <w:r w:rsidR="00BC0379">
        <w:rPr>
          <w:rFonts w:ascii="Verdana" w:hAnsi="Verdana"/>
          <w:sz w:val="24"/>
          <w:szCs w:val="24"/>
        </w:rPr>
        <w:t xml:space="preserve"> Евразийского региона</w:t>
      </w:r>
      <w:r>
        <w:rPr>
          <w:rFonts w:ascii="Verdana" w:hAnsi="Verdana"/>
          <w:sz w:val="24"/>
          <w:szCs w:val="24"/>
        </w:rPr>
        <w:t>.</w:t>
      </w:r>
    </w:p>
    <w:p w:rsidR="00A61EA6" w:rsidRPr="00A61EA6" w:rsidRDefault="00414178" w:rsidP="00642E45">
      <w:pPr>
        <w:spacing w:before="120" w:after="120" w:line="240" w:lineRule="auto"/>
        <w:jc w:val="both"/>
        <w:rPr>
          <w:rFonts w:ascii="Verdana" w:hAnsi="Verdana"/>
          <w:sz w:val="24"/>
          <w:szCs w:val="24"/>
        </w:rPr>
      </w:pPr>
      <w:r w:rsidRPr="00A61EA6">
        <w:rPr>
          <w:rFonts w:ascii="Verdana" w:hAnsi="Verdana"/>
          <w:sz w:val="24"/>
          <w:szCs w:val="24"/>
        </w:rPr>
        <w:t>1.</w:t>
      </w:r>
      <w:r w:rsidRPr="00A61EA6">
        <w:rPr>
          <w:rFonts w:ascii="Verdana" w:hAnsi="Verdana"/>
          <w:sz w:val="24"/>
          <w:szCs w:val="24"/>
        </w:rPr>
        <w:tab/>
      </w:r>
      <w:r w:rsidRPr="000763AF">
        <w:rPr>
          <w:rFonts w:ascii="Verdana" w:hAnsi="Verdana"/>
          <w:sz w:val="24"/>
          <w:szCs w:val="24"/>
        </w:rPr>
        <w:t xml:space="preserve">Создание и </w:t>
      </w:r>
      <w:r w:rsidR="000C1729" w:rsidRPr="000763AF">
        <w:rPr>
          <w:rFonts w:ascii="Verdana" w:hAnsi="Verdana"/>
          <w:sz w:val="24"/>
          <w:szCs w:val="24"/>
        </w:rPr>
        <w:t xml:space="preserve">ускоренное </w:t>
      </w:r>
      <w:r w:rsidRPr="000763AF">
        <w:rPr>
          <w:rFonts w:ascii="Verdana" w:hAnsi="Verdana"/>
          <w:sz w:val="24"/>
          <w:szCs w:val="24"/>
        </w:rPr>
        <w:t>развитие современных</w:t>
      </w:r>
      <w:r w:rsidRPr="00B02EFF">
        <w:rPr>
          <w:rFonts w:ascii="Verdana" w:hAnsi="Verdana"/>
          <w:b/>
          <w:sz w:val="24"/>
          <w:szCs w:val="24"/>
        </w:rPr>
        <w:t xml:space="preserve"> нефтегазохимических кластеров </w:t>
      </w:r>
      <w:r w:rsidRPr="000763AF">
        <w:rPr>
          <w:rFonts w:ascii="Verdana" w:hAnsi="Verdana"/>
          <w:sz w:val="24"/>
          <w:szCs w:val="24"/>
        </w:rPr>
        <w:t>в естественных центрах притяжения</w:t>
      </w:r>
      <w:r w:rsidRPr="00A61EA6">
        <w:rPr>
          <w:rFonts w:ascii="Verdana" w:hAnsi="Verdana"/>
          <w:sz w:val="24"/>
          <w:szCs w:val="24"/>
        </w:rPr>
        <w:t xml:space="preserve"> Евразийского региона вблизи крупных источников угле</w:t>
      </w:r>
      <w:r w:rsidR="000C1729">
        <w:rPr>
          <w:rFonts w:ascii="Verdana" w:hAnsi="Verdana"/>
          <w:sz w:val="24"/>
          <w:szCs w:val="24"/>
        </w:rPr>
        <w:t>водородного сырья (нефть и газ)</w:t>
      </w:r>
      <w:r w:rsidRPr="00A61EA6">
        <w:rPr>
          <w:rFonts w:ascii="Verdana" w:hAnsi="Verdana"/>
          <w:sz w:val="24"/>
          <w:szCs w:val="24"/>
        </w:rPr>
        <w:t xml:space="preserve">. Под кластером понимается полная цепочка создания стоимости от </w:t>
      </w:r>
      <w:r w:rsidRPr="00A61EA6">
        <w:rPr>
          <w:rFonts w:ascii="Verdana" w:hAnsi="Verdana"/>
          <w:sz w:val="24"/>
          <w:szCs w:val="24"/>
        </w:rPr>
        <w:t>разработок собственных технологий производства и выпуска необходимого оборудования до производства конечных продуктов потребления. Среди мировых успешных примеров кластеризации можно привести нефтегазохимические кластеры на о. Джуронг (Сингапур), в г</w:t>
      </w:r>
      <w:r w:rsidR="00092BF9">
        <w:rPr>
          <w:rFonts w:ascii="Verdana" w:hAnsi="Verdana"/>
          <w:sz w:val="24"/>
          <w:szCs w:val="24"/>
        </w:rPr>
        <w:t>ородах</w:t>
      </w:r>
      <w:r w:rsidRPr="00A61EA6">
        <w:rPr>
          <w:rFonts w:ascii="Verdana" w:hAnsi="Verdana"/>
          <w:sz w:val="24"/>
          <w:szCs w:val="24"/>
        </w:rPr>
        <w:t xml:space="preserve"> Ал-Джубаил</w:t>
      </w:r>
      <w:r w:rsidR="00240835">
        <w:rPr>
          <w:rFonts w:ascii="Verdana" w:hAnsi="Verdana"/>
          <w:sz w:val="24"/>
          <w:szCs w:val="24"/>
        </w:rPr>
        <w:t>е</w:t>
      </w:r>
      <w:r w:rsidRPr="00A61EA6">
        <w:rPr>
          <w:rFonts w:ascii="Verdana" w:hAnsi="Verdana"/>
          <w:sz w:val="24"/>
          <w:szCs w:val="24"/>
        </w:rPr>
        <w:t xml:space="preserve"> и Янбу (С</w:t>
      </w:r>
      <w:r w:rsidR="00092BF9">
        <w:rPr>
          <w:rFonts w:ascii="Verdana" w:hAnsi="Verdana"/>
          <w:sz w:val="24"/>
          <w:szCs w:val="24"/>
        </w:rPr>
        <w:t xml:space="preserve">аудовская </w:t>
      </w:r>
      <w:r w:rsidRPr="00A61EA6">
        <w:rPr>
          <w:rFonts w:ascii="Verdana" w:hAnsi="Verdana"/>
          <w:sz w:val="24"/>
          <w:szCs w:val="24"/>
        </w:rPr>
        <w:t>Аравия), Техасский нефтехимический кластер (США).</w:t>
      </w:r>
    </w:p>
    <w:p w:rsidR="00A61EA6" w:rsidRPr="00A61EA6" w:rsidRDefault="00414178" w:rsidP="00642E45">
      <w:pPr>
        <w:spacing w:before="120" w:after="120" w:line="240" w:lineRule="auto"/>
        <w:jc w:val="both"/>
        <w:rPr>
          <w:rFonts w:ascii="Verdana" w:hAnsi="Verdana"/>
          <w:sz w:val="24"/>
          <w:szCs w:val="24"/>
        </w:rPr>
      </w:pPr>
      <w:r w:rsidRPr="00A61EA6">
        <w:rPr>
          <w:rFonts w:ascii="Verdana" w:hAnsi="Verdana"/>
          <w:sz w:val="24"/>
          <w:szCs w:val="24"/>
        </w:rPr>
        <w:t>2.</w:t>
      </w:r>
      <w:r w:rsidRPr="00A61EA6">
        <w:rPr>
          <w:rFonts w:ascii="Verdana" w:hAnsi="Verdana"/>
          <w:sz w:val="24"/>
          <w:szCs w:val="24"/>
        </w:rPr>
        <w:tab/>
      </w:r>
      <w:r w:rsidR="00B02EFF" w:rsidRPr="000763AF">
        <w:rPr>
          <w:rFonts w:ascii="Verdana" w:hAnsi="Verdana"/>
          <w:sz w:val="24"/>
          <w:szCs w:val="24"/>
        </w:rPr>
        <w:t>Фокус на</w:t>
      </w:r>
      <w:r w:rsidR="00B02EFF" w:rsidRPr="00B02EFF">
        <w:rPr>
          <w:rFonts w:ascii="Verdana" w:hAnsi="Verdana"/>
          <w:b/>
          <w:sz w:val="24"/>
          <w:szCs w:val="24"/>
        </w:rPr>
        <w:t xml:space="preserve"> инновационной </w:t>
      </w:r>
      <w:r w:rsidRPr="00B02EFF">
        <w:rPr>
          <w:rFonts w:ascii="Verdana" w:hAnsi="Verdana"/>
          <w:b/>
          <w:sz w:val="24"/>
          <w:szCs w:val="24"/>
        </w:rPr>
        <w:t>малотоннажной нефтегазохимии</w:t>
      </w:r>
      <w:r w:rsidRPr="00A61EA6">
        <w:rPr>
          <w:rFonts w:ascii="Verdana" w:hAnsi="Verdana"/>
          <w:sz w:val="24"/>
          <w:szCs w:val="24"/>
        </w:rPr>
        <w:t>. В данном сегменте остро стоит проблема импортозамещения</w:t>
      </w:r>
      <w:r w:rsidR="009D1F35">
        <w:rPr>
          <w:rFonts w:ascii="Verdana" w:hAnsi="Verdana"/>
          <w:sz w:val="24"/>
          <w:szCs w:val="24"/>
        </w:rPr>
        <w:t xml:space="preserve"> и </w:t>
      </w:r>
      <w:r w:rsidRPr="00A61EA6">
        <w:rPr>
          <w:rFonts w:ascii="Verdana" w:hAnsi="Verdana"/>
          <w:sz w:val="24"/>
          <w:szCs w:val="24"/>
        </w:rPr>
        <w:t>есть значительный рыночный потенциал для наращивания собстве</w:t>
      </w:r>
      <w:r w:rsidRPr="00A61EA6">
        <w:rPr>
          <w:rFonts w:ascii="Verdana" w:hAnsi="Verdana"/>
          <w:sz w:val="24"/>
          <w:szCs w:val="24"/>
        </w:rPr>
        <w:t xml:space="preserve">нного производства. В нем сконцентрирована </w:t>
      </w:r>
      <w:r w:rsidR="00240835">
        <w:rPr>
          <w:rFonts w:ascii="Verdana" w:hAnsi="Verdana"/>
          <w:sz w:val="24"/>
          <w:szCs w:val="24"/>
        </w:rPr>
        <w:t xml:space="preserve">и </w:t>
      </w:r>
      <w:r w:rsidRPr="00A61EA6">
        <w:rPr>
          <w:rFonts w:ascii="Verdana" w:hAnsi="Verdana"/>
          <w:sz w:val="24"/>
          <w:szCs w:val="24"/>
        </w:rPr>
        <w:t>основная добавленная стоимость в технологической цепочке. По этой причине в развитых странах доля малотоннажной продукции составляет 40% химической промышленности и всего 15% в развивающихся странах. В стоимости</w:t>
      </w:r>
      <w:r w:rsidRPr="00A61EA6">
        <w:rPr>
          <w:rFonts w:ascii="Verdana" w:hAnsi="Verdana"/>
          <w:sz w:val="24"/>
          <w:szCs w:val="24"/>
        </w:rPr>
        <w:t xml:space="preserve"> конечной продукции отрасли этот сегмент занимает 70%. Малотоннажная нефтехимия является основой наукоемкого и безотходного производства и может выступить одним </w:t>
      </w:r>
      <w:r w:rsidR="00453870">
        <w:rPr>
          <w:rFonts w:ascii="Verdana" w:hAnsi="Verdana"/>
          <w:sz w:val="24"/>
          <w:szCs w:val="24"/>
        </w:rPr>
        <w:t xml:space="preserve">из </w:t>
      </w:r>
      <w:r w:rsidRPr="00A61EA6">
        <w:rPr>
          <w:rFonts w:ascii="Verdana" w:hAnsi="Verdana"/>
          <w:sz w:val="24"/>
          <w:szCs w:val="24"/>
        </w:rPr>
        <w:t xml:space="preserve">столпов перехода к новому технологическому укладу. Немаловажно </w:t>
      </w:r>
      <w:r w:rsidR="00240835">
        <w:rPr>
          <w:rFonts w:ascii="Verdana" w:hAnsi="Verdana"/>
          <w:sz w:val="24"/>
          <w:szCs w:val="24"/>
        </w:rPr>
        <w:t>—</w:t>
      </w:r>
      <w:r w:rsidRPr="00A61EA6">
        <w:rPr>
          <w:rFonts w:ascii="Verdana" w:hAnsi="Verdana"/>
          <w:sz w:val="24"/>
          <w:szCs w:val="24"/>
        </w:rPr>
        <w:t xml:space="preserve"> стоимость потенциальных про</w:t>
      </w:r>
      <w:r w:rsidRPr="00A61EA6">
        <w:rPr>
          <w:rFonts w:ascii="Verdana" w:hAnsi="Verdana"/>
          <w:sz w:val="24"/>
          <w:szCs w:val="24"/>
        </w:rPr>
        <w:t xml:space="preserve">ектов значительно меньше по сравнению с капиталоемкими проектами крупнотоннажного производства. При этом </w:t>
      </w:r>
      <w:r w:rsidR="00453870" w:rsidRPr="00453870">
        <w:rPr>
          <w:rFonts w:ascii="Verdana" w:hAnsi="Verdana"/>
          <w:sz w:val="24"/>
          <w:szCs w:val="24"/>
        </w:rPr>
        <w:t xml:space="preserve">реализация проектов малотоннажной нефтехимии </w:t>
      </w:r>
      <w:r w:rsidR="00453870">
        <w:rPr>
          <w:rFonts w:ascii="Verdana" w:hAnsi="Verdana"/>
          <w:sz w:val="24"/>
          <w:szCs w:val="24"/>
        </w:rPr>
        <w:t xml:space="preserve">целесообразна и </w:t>
      </w:r>
      <w:r w:rsidR="00453870" w:rsidRPr="00453870">
        <w:rPr>
          <w:rFonts w:ascii="Verdana" w:hAnsi="Verdana"/>
          <w:sz w:val="24"/>
          <w:szCs w:val="24"/>
        </w:rPr>
        <w:t xml:space="preserve">перспективна в привязке с </w:t>
      </w:r>
      <w:r w:rsidR="00453870">
        <w:rPr>
          <w:rFonts w:ascii="Verdana" w:hAnsi="Verdana"/>
          <w:sz w:val="24"/>
          <w:szCs w:val="24"/>
        </w:rPr>
        <w:t xml:space="preserve">проектами </w:t>
      </w:r>
      <w:r w:rsidR="00453870" w:rsidRPr="00453870">
        <w:rPr>
          <w:rFonts w:ascii="Verdana" w:hAnsi="Verdana"/>
          <w:sz w:val="24"/>
          <w:szCs w:val="24"/>
        </w:rPr>
        <w:t>крупнотоннажной нефтехими</w:t>
      </w:r>
      <w:r w:rsidR="00453870">
        <w:rPr>
          <w:rFonts w:ascii="Verdana" w:hAnsi="Verdana"/>
          <w:sz w:val="24"/>
          <w:szCs w:val="24"/>
        </w:rPr>
        <w:t>и</w:t>
      </w:r>
      <w:r w:rsidR="00453870" w:rsidRPr="00453870">
        <w:rPr>
          <w:rFonts w:ascii="Verdana" w:hAnsi="Verdana"/>
          <w:sz w:val="24"/>
          <w:szCs w:val="24"/>
        </w:rPr>
        <w:t xml:space="preserve"> в рамках кластерного подхода.</w:t>
      </w:r>
      <w:r w:rsidR="00453870">
        <w:rPr>
          <w:rFonts w:ascii="Verdana" w:hAnsi="Verdana"/>
          <w:sz w:val="24"/>
          <w:szCs w:val="24"/>
        </w:rPr>
        <w:t xml:space="preserve"> </w:t>
      </w:r>
    </w:p>
    <w:p w:rsidR="00A61EA6" w:rsidRPr="00A61EA6" w:rsidRDefault="00414178" w:rsidP="00642E45">
      <w:pPr>
        <w:spacing w:before="120" w:after="120" w:line="240" w:lineRule="auto"/>
        <w:jc w:val="both"/>
        <w:rPr>
          <w:rFonts w:ascii="Verdana" w:hAnsi="Verdana"/>
          <w:sz w:val="24"/>
          <w:szCs w:val="24"/>
        </w:rPr>
      </w:pPr>
      <w:r w:rsidRPr="00A61EA6">
        <w:rPr>
          <w:rFonts w:ascii="Verdana" w:hAnsi="Verdana"/>
          <w:sz w:val="24"/>
          <w:szCs w:val="24"/>
        </w:rPr>
        <w:t>3.</w:t>
      </w:r>
      <w:r w:rsidRPr="00A61EA6">
        <w:rPr>
          <w:rFonts w:ascii="Verdana" w:hAnsi="Verdana"/>
          <w:sz w:val="24"/>
          <w:szCs w:val="24"/>
        </w:rPr>
        <w:tab/>
      </w:r>
      <w:r w:rsidR="00E074CA" w:rsidRPr="000763AF">
        <w:rPr>
          <w:rFonts w:ascii="Verdana" w:hAnsi="Verdana"/>
          <w:sz w:val="24"/>
          <w:szCs w:val="24"/>
        </w:rPr>
        <w:t>В</w:t>
      </w:r>
      <w:r w:rsidRPr="000763AF">
        <w:rPr>
          <w:rFonts w:ascii="Verdana" w:hAnsi="Verdana"/>
          <w:sz w:val="24"/>
          <w:szCs w:val="24"/>
        </w:rPr>
        <w:t>недрени</w:t>
      </w:r>
      <w:r w:rsidR="00E074CA" w:rsidRPr="000763AF">
        <w:rPr>
          <w:rFonts w:ascii="Verdana" w:hAnsi="Verdana"/>
          <w:sz w:val="24"/>
          <w:szCs w:val="24"/>
        </w:rPr>
        <w:t>е</w:t>
      </w:r>
      <w:r w:rsidRPr="000763AF">
        <w:rPr>
          <w:rFonts w:ascii="Verdana" w:hAnsi="Verdana"/>
          <w:sz w:val="24"/>
          <w:szCs w:val="24"/>
        </w:rPr>
        <w:t xml:space="preserve"> механизмов</w:t>
      </w:r>
      <w:r w:rsidRPr="009D1F35">
        <w:rPr>
          <w:rFonts w:ascii="Verdana" w:hAnsi="Verdana"/>
          <w:b/>
          <w:sz w:val="24"/>
          <w:szCs w:val="24"/>
        </w:rPr>
        <w:t xml:space="preserve"> экономики замкнутого цикла</w:t>
      </w:r>
      <w:r w:rsidRPr="00A61EA6">
        <w:rPr>
          <w:rFonts w:ascii="Verdana" w:hAnsi="Verdana"/>
          <w:sz w:val="24"/>
          <w:szCs w:val="24"/>
        </w:rPr>
        <w:t xml:space="preserve"> </w:t>
      </w:r>
      <w:r w:rsidRPr="00982175">
        <w:rPr>
          <w:rFonts w:ascii="Verdana" w:hAnsi="Verdana"/>
          <w:sz w:val="24"/>
          <w:szCs w:val="24"/>
        </w:rPr>
        <w:t>(</w:t>
      </w:r>
      <w:r w:rsidRPr="008A4101">
        <w:rPr>
          <w:rFonts w:ascii="Verdana" w:hAnsi="Verdana"/>
          <w:i/>
          <w:sz w:val="24"/>
          <w:szCs w:val="24"/>
        </w:rPr>
        <w:t>сircular economy</w:t>
      </w:r>
      <w:r w:rsidRPr="00982175">
        <w:rPr>
          <w:rFonts w:ascii="Verdana" w:hAnsi="Verdana"/>
          <w:sz w:val="24"/>
          <w:szCs w:val="24"/>
        </w:rPr>
        <w:t>)</w:t>
      </w:r>
      <w:r w:rsidRPr="00A61EA6">
        <w:rPr>
          <w:rFonts w:ascii="Verdana" w:hAnsi="Verdana"/>
          <w:sz w:val="24"/>
          <w:szCs w:val="24"/>
        </w:rPr>
        <w:t>. Для этого необходимо поддерживать развитие вторичной переработки побочных продуктов добычи нефти и газа (в первую очередь пластика); вовлечение полимерны</w:t>
      </w:r>
      <w:r w:rsidRPr="00A61EA6">
        <w:rPr>
          <w:rFonts w:ascii="Verdana" w:hAnsi="Verdana"/>
          <w:sz w:val="24"/>
          <w:szCs w:val="24"/>
        </w:rPr>
        <w:t xml:space="preserve">х отходов во вторичную химическую переработку; сведение к минимуму попадания частиц пластика в </w:t>
      </w:r>
      <w:r w:rsidRPr="00A61EA6">
        <w:rPr>
          <w:rFonts w:ascii="Verdana" w:hAnsi="Verdana"/>
          <w:sz w:val="24"/>
          <w:szCs w:val="24"/>
        </w:rPr>
        <w:lastRenderedPageBreak/>
        <w:t>окружающую среду; закупка и поставка наилучших доступных технологий в нефтегазохимии, направленных на снижение выбросов и ис</w:t>
      </w:r>
      <w:r w:rsidR="009D1F35">
        <w:rPr>
          <w:rFonts w:ascii="Verdana" w:hAnsi="Verdana"/>
          <w:sz w:val="24"/>
          <w:szCs w:val="24"/>
        </w:rPr>
        <w:t>пользования природных ресурсов.</w:t>
      </w:r>
    </w:p>
    <w:p w:rsidR="00A61EA6" w:rsidRPr="00A61EA6" w:rsidRDefault="00414178" w:rsidP="00642E45">
      <w:pPr>
        <w:spacing w:before="120" w:after="120" w:line="240" w:lineRule="auto"/>
        <w:jc w:val="both"/>
        <w:rPr>
          <w:rFonts w:ascii="Verdana" w:hAnsi="Verdana"/>
          <w:sz w:val="24"/>
          <w:szCs w:val="24"/>
        </w:rPr>
      </w:pPr>
      <w:r w:rsidRPr="00A61EA6">
        <w:rPr>
          <w:rFonts w:ascii="Verdana" w:hAnsi="Verdana"/>
          <w:sz w:val="24"/>
          <w:szCs w:val="24"/>
        </w:rPr>
        <w:t>4.</w:t>
      </w:r>
      <w:r w:rsidRPr="00A61EA6">
        <w:rPr>
          <w:rFonts w:ascii="Verdana" w:hAnsi="Verdana"/>
          <w:sz w:val="24"/>
          <w:szCs w:val="24"/>
        </w:rPr>
        <w:tab/>
      </w:r>
      <w:r w:rsidR="009D1F35" w:rsidRPr="000763AF">
        <w:rPr>
          <w:rFonts w:ascii="Verdana" w:hAnsi="Verdana"/>
          <w:sz w:val="24"/>
          <w:szCs w:val="24"/>
        </w:rPr>
        <w:t>Обеспечение</w:t>
      </w:r>
      <w:r w:rsidR="009D1F35" w:rsidRPr="009D1F35">
        <w:rPr>
          <w:rFonts w:ascii="Verdana" w:hAnsi="Verdana"/>
          <w:b/>
          <w:sz w:val="24"/>
          <w:szCs w:val="24"/>
        </w:rPr>
        <w:t xml:space="preserve"> транспортно-логистических </w:t>
      </w:r>
      <w:r w:rsidR="009D1F35" w:rsidRPr="000763AF">
        <w:rPr>
          <w:rFonts w:ascii="Verdana" w:hAnsi="Verdana"/>
          <w:sz w:val="24"/>
          <w:szCs w:val="24"/>
        </w:rPr>
        <w:t>решений для поставок полимерной продукции</w:t>
      </w:r>
      <w:r w:rsidR="009D1F35" w:rsidRPr="009D1F35">
        <w:rPr>
          <w:rFonts w:ascii="Verdana" w:hAnsi="Verdana"/>
          <w:b/>
          <w:sz w:val="24"/>
          <w:szCs w:val="24"/>
        </w:rPr>
        <w:t xml:space="preserve"> на перспективные рынки сбыта</w:t>
      </w:r>
      <w:r w:rsidR="009D1F35" w:rsidRPr="00A61EA6">
        <w:rPr>
          <w:rFonts w:ascii="Verdana" w:hAnsi="Verdana"/>
          <w:sz w:val="24"/>
          <w:szCs w:val="24"/>
        </w:rPr>
        <w:t xml:space="preserve"> </w:t>
      </w:r>
      <w:r w:rsidR="0061120A">
        <w:rPr>
          <w:rFonts w:ascii="Verdana" w:hAnsi="Verdana"/>
          <w:sz w:val="24"/>
          <w:szCs w:val="24"/>
        </w:rPr>
        <w:t>—</w:t>
      </w:r>
      <w:r w:rsidR="009D1F35" w:rsidRPr="00A61EA6">
        <w:rPr>
          <w:rFonts w:ascii="Verdana" w:hAnsi="Verdana"/>
          <w:sz w:val="24"/>
          <w:szCs w:val="24"/>
        </w:rPr>
        <w:t xml:space="preserve"> </w:t>
      </w:r>
      <w:r w:rsidR="009D1F35">
        <w:rPr>
          <w:rFonts w:ascii="Verdana" w:hAnsi="Verdana"/>
          <w:sz w:val="24"/>
          <w:szCs w:val="24"/>
        </w:rPr>
        <w:t xml:space="preserve">страны </w:t>
      </w:r>
      <w:r w:rsidR="009D1F35" w:rsidRPr="00A61EA6">
        <w:rPr>
          <w:rFonts w:ascii="Verdana" w:hAnsi="Verdana"/>
          <w:sz w:val="24"/>
          <w:szCs w:val="24"/>
        </w:rPr>
        <w:t>Азиатско-Тихоокеанского региона и</w:t>
      </w:r>
      <w:r w:rsidR="009D1F35">
        <w:rPr>
          <w:rFonts w:ascii="Verdana" w:hAnsi="Verdana"/>
          <w:sz w:val="24"/>
          <w:szCs w:val="24"/>
        </w:rPr>
        <w:t xml:space="preserve"> Индия</w:t>
      </w:r>
      <w:r w:rsidR="009D1F35" w:rsidRPr="00A61EA6">
        <w:rPr>
          <w:rFonts w:ascii="Verdana" w:hAnsi="Verdana"/>
          <w:sz w:val="24"/>
          <w:szCs w:val="24"/>
        </w:rPr>
        <w:t>.</w:t>
      </w:r>
      <w:r w:rsidR="009D1F35">
        <w:rPr>
          <w:rFonts w:ascii="Verdana" w:hAnsi="Verdana"/>
          <w:sz w:val="24"/>
          <w:szCs w:val="24"/>
        </w:rPr>
        <w:t xml:space="preserve"> </w:t>
      </w:r>
      <w:r w:rsidRPr="00A61EA6">
        <w:rPr>
          <w:rFonts w:ascii="Verdana" w:hAnsi="Verdana"/>
          <w:sz w:val="24"/>
          <w:szCs w:val="24"/>
        </w:rPr>
        <w:t xml:space="preserve">Страны Евразийского региона имеют большие возможности </w:t>
      </w:r>
      <w:r w:rsidRPr="000763AF">
        <w:rPr>
          <w:rFonts w:ascii="Verdana" w:hAnsi="Verdana"/>
          <w:sz w:val="24"/>
          <w:szCs w:val="24"/>
        </w:rPr>
        <w:t xml:space="preserve">для наращивания внутренних перевозок и экспорта полимерной продукции, используя потенциал евразийских транспортных коридоров. В условиях новой геополитической реальности существенную значимость получил новый транспортный канал </w:t>
      </w:r>
      <w:r w:rsidR="0061120A">
        <w:rPr>
          <w:rFonts w:ascii="Verdana" w:hAnsi="Verdana"/>
          <w:sz w:val="24"/>
          <w:szCs w:val="24"/>
        </w:rPr>
        <w:t>—</w:t>
      </w:r>
      <w:r w:rsidRPr="000763AF">
        <w:rPr>
          <w:rFonts w:ascii="Verdana" w:hAnsi="Verdana"/>
          <w:sz w:val="24"/>
          <w:szCs w:val="24"/>
        </w:rPr>
        <w:t xml:space="preserve"> международн</w:t>
      </w:r>
      <w:r w:rsidR="0061120A">
        <w:rPr>
          <w:rFonts w:ascii="Verdana" w:hAnsi="Verdana"/>
          <w:sz w:val="24"/>
          <w:szCs w:val="24"/>
        </w:rPr>
        <w:t>ый</w:t>
      </w:r>
      <w:r w:rsidRPr="000763AF">
        <w:rPr>
          <w:rFonts w:ascii="Verdana" w:hAnsi="Verdana"/>
          <w:sz w:val="24"/>
          <w:szCs w:val="24"/>
        </w:rPr>
        <w:t xml:space="preserve"> транспортн</w:t>
      </w:r>
      <w:r w:rsidR="0061120A">
        <w:rPr>
          <w:rFonts w:ascii="Verdana" w:hAnsi="Verdana"/>
          <w:sz w:val="24"/>
          <w:szCs w:val="24"/>
        </w:rPr>
        <w:t>ый</w:t>
      </w:r>
      <w:r w:rsidRPr="000763AF">
        <w:rPr>
          <w:rFonts w:ascii="Verdana" w:hAnsi="Verdana"/>
          <w:sz w:val="24"/>
          <w:szCs w:val="24"/>
        </w:rPr>
        <w:t xml:space="preserve"> </w:t>
      </w:r>
      <w:r w:rsidRPr="000763AF">
        <w:rPr>
          <w:rFonts w:ascii="Verdana" w:hAnsi="Verdana"/>
          <w:sz w:val="24"/>
          <w:szCs w:val="24"/>
        </w:rPr>
        <w:t>коридор</w:t>
      </w:r>
      <w:r w:rsidRPr="00A61EA6">
        <w:rPr>
          <w:rFonts w:ascii="Verdana" w:hAnsi="Verdana"/>
          <w:sz w:val="24"/>
          <w:szCs w:val="24"/>
        </w:rPr>
        <w:t xml:space="preserve"> «Север </w:t>
      </w:r>
      <w:r w:rsidR="0061120A">
        <w:rPr>
          <w:rFonts w:ascii="Verdana" w:hAnsi="Verdana"/>
          <w:sz w:val="24"/>
          <w:szCs w:val="24"/>
        </w:rPr>
        <w:t>—</w:t>
      </w:r>
      <w:r w:rsidRPr="00A61EA6">
        <w:rPr>
          <w:rFonts w:ascii="Verdana" w:hAnsi="Verdana"/>
          <w:sz w:val="24"/>
          <w:szCs w:val="24"/>
        </w:rPr>
        <w:t xml:space="preserve"> Юг». Его развитие откроет новые маршруты для делового сотрудничества с Индией, Ираном, Пакистаном, странами Ближнего Востока.</w:t>
      </w:r>
    </w:p>
    <w:p w:rsidR="00A61EA6" w:rsidRDefault="00414178" w:rsidP="00642E45">
      <w:pPr>
        <w:spacing w:before="120" w:after="120" w:line="240" w:lineRule="auto"/>
        <w:jc w:val="both"/>
        <w:rPr>
          <w:rFonts w:ascii="Verdana" w:hAnsi="Verdana"/>
          <w:sz w:val="24"/>
          <w:szCs w:val="24"/>
        </w:rPr>
      </w:pPr>
      <w:r w:rsidRPr="00A61EA6">
        <w:rPr>
          <w:rFonts w:ascii="Verdana" w:hAnsi="Verdana"/>
          <w:sz w:val="24"/>
          <w:szCs w:val="24"/>
        </w:rPr>
        <w:t>5.</w:t>
      </w:r>
      <w:r w:rsidRPr="00A61EA6">
        <w:rPr>
          <w:rFonts w:ascii="Verdana" w:hAnsi="Verdana"/>
          <w:sz w:val="24"/>
          <w:szCs w:val="24"/>
        </w:rPr>
        <w:tab/>
      </w:r>
      <w:r w:rsidR="006D1437" w:rsidRPr="000763AF">
        <w:rPr>
          <w:rFonts w:ascii="Verdana" w:hAnsi="Verdana"/>
          <w:sz w:val="24"/>
          <w:szCs w:val="24"/>
        </w:rPr>
        <w:t>Использование международного статуса</w:t>
      </w:r>
      <w:r w:rsidR="006D1437" w:rsidRPr="006D1437">
        <w:rPr>
          <w:rFonts w:ascii="Verdana" w:hAnsi="Verdana"/>
          <w:b/>
          <w:sz w:val="24"/>
          <w:szCs w:val="24"/>
        </w:rPr>
        <w:t xml:space="preserve"> многосторонних банков развития</w:t>
      </w:r>
      <w:r w:rsidR="006D1437">
        <w:rPr>
          <w:rFonts w:ascii="Verdana" w:hAnsi="Verdana"/>
          <w:b/>
          <w:sz w:val="24"/>
          <w:szCs w:val="24"/>
        </w:rPr>
        <w:t xml:space="preserve"> (МБР)</w:t>
      </w:r>
      <w:r w:rsidR="006D1437" w:rsidRPr="006D1437">
        <w:rPr>
          <w:rFonts w:ascii="Verdana" w:hAnsi="Verdana"/>
          <w:b/>
          <w:sz w:val="24"/>
          <w:szCs w:val="24"/>
        </w:rPr>
        <w:t xml:space="preserve"> </w:t>
      </w:r>
      <w:r w:rsidR="006D1437" w:rsidRPr="000763AF">
        <w:rPr>
          <w:rFonts w:ascii="Verdana" w:hAnsi="Verdana"/>
          <w:sz w:val="24"/>
          <w:szCs w:val="24"/>
        </w:rPr>
        <w:t>для привлечения инвестиций в отрасль</w:t>
      </w:r>
      <w:r w:rsidR="006D1437" w:rsidRPr="00982175">
        <w:rPr>
          <w:rFonts w:ascii="Verdana" w:hAnsi="Verdana"/>
          <w:sz w:val="24"/>
          <w:szCs w:val="24"/>
        </w:rPr>
        <w:t xml:space="preserve">. </w:t>
      </w:r>
      <w:r w:rsidRPr="00A61EA6">
        <w:rPr>
          <w:rFonts w:ascii="Verdana" w:hAnsi="Verdana"/>
          <w:sz w:val="24"/>
          <w:szCs w:val="24"/>
        </w:rPr>
        <w:t xml:space="preserve">Реализация вышеперечисленных мероприятий потребует долгосрочных инвестиций на основе консорциума предприятий нефтегазовой и нефтегазохимической промышленности, государств и финансовых институтов различного уровня. </w:t>
      </w:r>
      <w:r w:rsidR="006D1437">
        <w:rPr>
          <w:rFonts w:ascii="Verdana" w:hAnsi="Verdana"/>
          <w:sz w:val="24"/>
          <w:szCs w:val="24"/>
        </w:rPr>
        <w:t>За последние 10 лет МБР</w:t>
      </w:r>
      <w:r w:rsidRPr="00A61EA6">
        <w:rPr>
          <w:rFonts w:ascii="Verdana" w:hAnsi="Verdana"/>
          <w:sz w:val="24"/>
          <w:szCs w:val="24"/>
        </w:rPr>
        <w:t xml:space="preserve"> инвестировали в </w:t>
      </w:r>
      <w:r w:rsidRPr="00A61EA6">
        <w:rPr>
          <w:rFonts w:ascii="Verdana" w:hAnsi="Verdana"/>
          <w:sz w:val="24"/>
          <w:szCs w:val="24"/>
        </w:rPr>
        <w:t xml:space="preserve">нефтегазохимию порядка 7,5 млрд </w:t>
      </w:r>
      <w:r w:rsidR="00E62A75">
        <w:rPr>
          <w:rFonts w:ascii="Verdana" w:hAnsi="Verdana"/>
          <w:sz w:val="24"/>
          <w:szCs w:val="24"/>
        </w:rPr>
        <w:t>долларов</w:t>
      </w:r>
      <w:r w:rsidR="00D84D53">
        <w:rPr>
          <w:rFonts w:ascii="Verdana" w:hAnsi="Verdana"/>
          <w:sz w:val="24"/>
          <w:szCs w:val="24"/>
        </w:rPr>
        <w:t>.</w:t>
      </w:r>
      <w:r w:rsidRPr="00A61EA6">
        <w:rPr>
          <w:rFonts w:ascii="Verdana" w:hAnsi="Verdana"/>
          <w:sz w:val="24"/>
          <w:szCs w:val="24"/>
        </w:rPr>
        <w:t xml:space="preserve"> </w:t>
      </w:r>
      <w:r w:rsidR="006D1437">
        <w:rPr>
          <w:rFonts w:ascii="Verdana" w:hAnsi="Verdana"/>
          <w:sz w:val="24"/>
          <w:szCs w:val="24"/>
        </w:rPr>
        <w:t xml:space="preserve">Эти финансовые институты </w:t>
      </w:r>
      <w:r w:rsidRPr="00A61EA6">
        <w:rPr>
          <w:rFonts w:ascii="Verdana" w:hAnsi="Verdana"/>
          <w:sz w:val="24"/>
          <w:szCs w:val="24"/>
        </w:rPr>
        <w:t>предоставляют такие же финансовые инструменты, как и двусторонние банки развития в развивающихся странах</w:t>
      </w:r>
      <w:r w:rsidR="000F6FE7">
        <w:rPr>
          <w:rFonts w:ascii="Verdana" w:hAnsi="Verdana"/>
          <w:sz w:val="24"/>
          <w:szCs w:val="24"/>
        </w:rPr>
        <w:t>. О</w:t>
      </w:r>
      <w:r w:rsidRPr="00A61EA6">
        <w:rPr>
          <w:rFonts w:ascii="Verdana" w:hAnsi="Verdana"/>
          <w:sz w:val="24"/>
          <w:szCs w:val="24"/>
        </w:rPr>
        <w:t xml:space="preserve">днако </w:t>
      </w:r>
      <w:r w:rsidR="000F6FE7">
        <w:rPr>
          <w:rFonts w:ascii="Verdana" w:hAnsi="Verdana"/>
          <w:sz w:val="24"/>
          <w:szCs w:val="24"/>
        </w:rPr>
        <w:t xml:space="preserve">МБР </w:t>
      </w:r>
      <w:r w:rsidRPr="00A61EA6">
        <w:rPr>
          <w:rFonts w:ascii="Verdana" w:hAnsi="Verdana"/>
          <w:sz w:val="24"/>
          <w:szCs w:val="24"/>
        </w:rPr>
        <w:t xml:space="preserve">в меньшей степени подвержены влиянию национальных политических или </w:t>
      </w:r>
      <w:r w:rsidRPr="00A61EA6">
        <w:rPr>
          <w:rFonts w:ascii="Verdana" w:hAnsi="Verdana"/>
          <w:sz w:val="24"/>
          <w:szCs w:val="24"/>
        </w:rPr>
        <w:t>промышленных интересов</w:t>
      </w:r>
      <w:r w:rsidR="004F041E">
        <w:rPr>
          <w:rFonts w:ascii="Verdana" w:hAnsi="Verdana"/>
          <w:sz w:val="24"/>
          <w:szCs w:val="24"/>
        </w:rPr>
        <w:t xml:space="preserve">. МБР </w:t>
      </w:r>
      <w:r w:rsidR="006D1437">
        <w:rPr>
          <w:rFonts w:ascii="Verdana" w:hAnsi="Verdana"/>
          <w:sz w:val="24"/>
          <w:szCs w:val="24"/>
        </w:rPr>
        <w:t>имеют возможность привлечь под свой зонтик инвестиции</w:t>
      </w:r>
      <w:r w:rsidR="000F6FE7">
        <w:rPr>
          <w:rFonts w:ascii="Verdana" w:hAnsi="Verdana"/>
          <w:sz w:val="24"/>
          <w:szCs w:val="24"/>
        </w:rPr>
        <w:t xml:space="preserve"> </w:t>
      </w:r>
      <w:r w:rsidR="004F041E">
        <w:rPr>
          <w:rFonts w:ascii="Verdana" w:hAnsi="Verdana"/>
          <w:sz w:val="24"/>
          <w:szCs w:val="24"/>
        </w:rPr>
        <w:t>от</w:t>
      </w:r>
      <w:r w:rsidR="000F6FE7">
        <w:rPr>
          <w:rFonts w:ascii="Verdana" w:hAnsi="Verdana"/>
          <w:sz w:val="24"/>
          <w:szCs w:val="24"/>
        </w:rPr>
        <w:t xml:space="preserve"> </w:t>
      </w:r>
      <w:r w:rsidR="000F5249">
        <w:rPr>
          <w:rFonts w:ascii="Verdana" w:hAnsi="Verdana"/>
          <w:sz w:val="24"/>
          <w:szCs w:val="24"/>
        </w:rPr>
        <w:t xml:space="preserve">международных </w:t>
      </w:r>
      <w:r w:rsidR="004F041E">
        <w:rPr>
          <w:rFonts w:ascii="Verdana" w:hAnsi="Verdana"/>
          <w:sz w:val="24"/>
          <w:szCs w:val="24"/>
        </w:rPr>
        <w:t xml:space="preserve">партнеров, доступ к международным финансовым рынкам, </w:t>
      </w:r>
      <w:r w:rsidR="000F5249">
        <w:rPr>
          <w:rFonts w:ascii="Verdana" w:hAnsi="Verdana"/>
          <w:sz w:val="24"/>
          <w:szCs w:val="24"/>
        </w:rPr>
        <w:t xml:space="preserve">могут </w:t>
      </w:r>
      <w:r w:rsidR="004F041E">
        <w:rPr>
          <w:rFonts w:ascii="Verdana" w:hAnsi="Verdana"/>
          <w:sz w:val="24"/>
          <w:szCs w:val="24"/>
        </w:rPr>
        <w:t xml:space="preserve">содействовать развитию нефтегазохимии посредством дополнительных финансовых продуктов </w:t>
      </w:r>
      <w:r w:rsidR="004F041E" w:rsidRPr="00982175">
        <w:rPr>
          <w:rFonts w:ascii="Verdana" w:hAnsi="Verdana"/>
          <w:sz w:val="24"/>
          <w:szCs w:val="24"/>
        </w:rPr>
        <w:t>(</w:t>
      </w:r>
      <w:r w:rsidR="004F041E" w:rsidRPr="004B6010">
        <w:rPr>
          <w:rFonts w:ascii="Verdana" w:hAnsi="Verdana"/>
          <w:i/>
          <w:sz w:val="24"/>
          <w:szCs w:val="24"/>
        </w:rPr>
        <w:t>включая документарное сопровождение, funded participation, льготное экспортное финансирование и др</w:t>
      </w:r>
      <w:r w:rsidR="00D84D53">
        <w:rPr>
          <w:rFonts w:ascii="Verdana" w:hAnsi="Verdana"/>
          <w:i/>
          <w:sz w:val="24"/>
          <w:szCs w:val="24"/>
        </w:rPr>
        <w:t>.</w:t>
      </w:r>
      <w:r w:rsidR="004F041E" w:rsidRPr="00982175">
        <w:rPr>
          <w:rFonts w:ascii="Verdana" w:hAnsi="Verdana"/>
          <w:sz w:val="24"/>
          <w:szCs w:val="24"/>
        </w:rPr>
        <w:t>)</w:t>
      </w:r>
      <w:r w:rsidR="006D1437">
        <w:rPr>
          <w:rFonts w:ascii="Verdana" w:hAnsi="Verdana"/>
          <w:sz w:val="24"/>
          <w:szCs w:val="24"/>
        </w:rPr>
        <w:t>.</w:t>
      </w:r>
    </w:p>
    <w:p w:rsidR="00970EFF" w:rsidRDefault="00414178" w:rsidP="00642E45">
      <w:pPr>
        <w:spacing w:before="120" w:after="120" w:line="240" w:lineRule="auto"/>
        <w:jc w:val="both"/>
        <w:rPr>
          <w:rFonts w:ascii="Verdana" w:hAnsi="Verdana" w:cs="Arial"/>
          <w:sz w:val="24"/>
          <w:szCs w:val="24"/>
        </w:rPr>
      </w:pPr>
      <w:r w:rsidRPr="00C23B87">
        <w:rPr>
          <w:rFonts w:ascii="Verdana" w:hAnsi="Verdana" w:cs="Arial"/>
          <w:sz w:val="24"/>
          <w:szCs w:val="24"/>
        </w:rPr>
        <w:t xml:space="preserve">Подробнее с содержанием </w:t>
      </w:r>
      <w:r w:rsidR="00DA0F73" w:rsidRPr="00C23B87">
        <w:rPr>
          <w:rFonts w:ascii="Verdana" w:hAnsi="Verdana" w:cs="Arial"/>
          <w:sz w:val="24"/>
          <w:szCs w:val="24"/>
        </w:rPr>
        <w:t>доклада</w:t>
      </w:r>
      <w:r w:rsidRPr="00C23B87">
        <w:rPr>
          <w:rFonts w:ascii="Verdana" w:hAnsi="Verdana" w:cs="Arial"/>
          <w:sz w:val="24"/>
          <w:szCs w:val="24"/>
        </w:rPr>
        <w:t xml:space="preserve"> </w:t>
      </w:r>
      <w:r w:rsidR="00DA0F73" w:rsidRPr="00C23B87">
        <w:rPr>
          <w:rFonts w:ascii="Verdana" w:hAnsi="Verdana" w:cs="Arial"/>
          <w:sz w:val="24"/>
          <w:szCs w:val="24"/>
        </w:rPr>
        <w:t>«</w:t>
      </w:r>
      <w:r w:rsidR="003B01CE" w:rsidRPr="003B01CE">
        <w:rPr>
          <w:rFonts w:ascii="Verdana" w:hAnsi="Verdana" w:cs="Arial"/>
          <w:sz w:val="24"/>
          <w:szCs w:val="24"/>
        </w:rPr>
        <w:t>Нефтегазохимическая промышленность Еврази</w:t>
      </w:r>
      <w:r w:rsidR="00847A09">
        <w:rPr>
          <w:rFonts w:ascii="Verdana" w:hAnsi="Verdana" w:cs="Arial"/>
          <w:sz w:val="24"/>
          <w:szCs w:val="24"/>
        </w:rPr>
        <w:t>и</w:t>
      </w:r>
      <w:r w:rsidR="003B01CE" w:rsidRPr="003B01CE">
        <w:rPr>
          <w:rFonts w:ascii="Verdana" w:hAnsi="Verdana" w:cs="Arial"/>
          <w:sz w:val="24"/>
          <w:szCs w:val="24"/>
        </w:rPr>
        <w:t>: перспективы углубления переработки</w:t>
      </w:r>
      <w:r w:rsidR="00DA0F73" w:rsidRPr="00C23B87">
        <w:rPr>
          <w:rFonts w:ascii="Verdana" w:hAnsi="Verdana" w:cs="Arial"/>
          <w:sz w:val="24"/>
          <w:szCs w:val="24"/>
        </w:rPr>
        <w:t xml:space="preserve">» </w:t>
      </w:r>
      <w:r w:rsidRPr="00C23B87">
        <w:rPr>
          <w:rFonts w:ascii="Verdana" w:hAnsi="Verdana" w:cs="Arial"/>
          <w:sz w:val="24"/>
          <w:szCs w:val="24"/>
        </w:rPr>
        <w:t xml:space="preserve">можно ознакомиться </w:t>
      </w:r>
      <w:hyperlink r:id="rId9" w:history="1">
        <w:r w:rsidR="0079416B" w:rsidRPr="00C23B87">
          <w:rPr>
            <w:rStyle w:val="a4"/>
            <w:rFonts w:ascii="Verdana" w:hAnsi="Verdana" w:cs="Arial"/>
            <w:sz w:val="24"/>
            <w:szCs w:val="24"/>
          </w:rPr>
          <w:t>на сайте Банка</w:t>
        </w:r>
      </w:hyperlink>
      <w:r w:rsidR="004664DA" w:rsidRPr="00C23B87">
        <w:rPr>
          <w:rFonts w:ascii="Verdana" w:hAnsi="Verdana" w:cs="Arial"/>
          <w:sz w:val="24"/>
          <w:szCs w:val="24"/>
        </w:rPr>
        <w:t>.</w:t>
      </w:r>
    </w:p>
    <w:p w:rsidR="00F55773" w:rsidRPr="00C23B87" w:rsidRDefault="00F55773" w:rsidP="00642E45">
      <w:pPr>
        <w:spacing w:before="120" w:after="120" w:line="240" w:lineRule="auto"/>
        <w:jc w:val="both"/>
        <w:rPr>
          <w:rFonts w:ascii="Verdana" w:hAnsi="Verdana" w:cs="Arial"/>
          <w:sz w:val="24"/>
          <w:szCs w:val="24"/>
        </w:rPr>
      </w:pPr>
    </w:p>
    <w:p w:rsidR="00F55773" w:rsidRPr="00F55773" w:rsidRDefault="00F55773" w:rsidP="00F55773">
      <w:pPr>
        <w:pStyle w:val="a3"/>
        <w:shd w:val="clear" w:color="auto" w:fill="FFFFFF"/>
        <w:spacing w:before="0" w:beforeAutospacing="0" w:after="120" w:afterAutospacing="0"/>
        <w:jc w:val="both"/>
        <w:textAlignment w:val="baseline"/>
        <w:rPr>
          <w:rFonts w:ascii="Verdana" w:hAnsi="Verdana" w:cs="Arial"/>
          <w:b/>
          <w:color w:val="000000"/>
          <w:spacing w:val="-2"/>
        </w:rPr>
      </w:pPr>
      <w:r w:rsidRPr="00F55773">
        <w:rPr>
          <w:rFonts w:ascii="Verdana" w:hAnsi="Verdana" w:cs="Arial"/>
          <w:b/>
          <w:i/>
          <w:iCs/>
          <w:color w:val="000000"/>
          <w:spacing w:val="-2"/>
          <w:bdr w:val="none" w:sz="0" w:space="0" w:color="auto" w:frame="1"/>
        </w:rPr>
        <w:t>Справка:</w:t>
      </w:r>
    </w:p>
    <w:p w:rsidR="00F55773" w:rsidRPr="00F55773" w:rsidRDefault="00F55773" w:rsidP="00F55773">
      <w:pPr>
        <w:pStyle w:val="a3"/>
        <w:shd w:val="clear" w:color="auto" w:fill="FFFFFF"/>
        <w:spacing w:before="0" w:beforeAutospacing="0" w:after="120" w:afterAutospacing="0"/>
        <w:jc w:val="both"/>
        <w:textAlignment w:val="baseline"/>
        <w:rPr>
          <w:rFonts w:ascii="Verdana" w:hAnsi="Verdana" w:cs="Arial"/>
          <w:color w:val="000000"/>
          <w:spacing w:val="-2"/>
        </w:rPr>
      </w:pPr>
      <w:r w:rsidRPr="00F55773">
        <w:rPr>
          <w:rFonts w:ascii="Verdana" w:hAnsi="Verdana" w:cs="Arial"/>
          <w:b/>
          <w:i/>
          <w:iCs/>
          <w:color w:val="000000"/>
          <w:spacing w:val="-2"/>
          <w:bdr w:val="none" w:sz="0" w:space="0" w:color="auto" w:frame="1"/>
        </w:rPr>
        <w:t>Евразийский банк развития</w:t>
      </w:r>
      <w:r w:rsidRPr="00F55773">
        <w:rPr>
          <w:rFonts w:ascii="Verdana" w:hAnsi="Verdana" w:cs="Arial"/>
          <w:i/>
          <w:iCs/>
          <w:color w:val="000000"/>
          <w:spacing w:val="-2"/>
          <w:bdr w:val="none" w:sz="0" w:space="0" w:color="auto" w:frame="1"/>
        </w:rPr>
        <w:t xml:space="preserve"> — международная финансовая организация, осуществляющая инвестиционную деятельность на евразийском пространстве. Уже более 18 лет ЕАБР содействует укреплению и </w:t>
      </w:r>
      <w:r w:rsidRPr="00F55773">
        <w:rPr>
          <w:rFonts w:ascii="Verdana" w:hAnsi="Verdana" w:cs="Arial"/>
          <w:i/>
          <w:iCs/>
          <w:color w:val="000000"/>
          <w:spacing w:val="-2"/>
          <w:bdr w:val="none" w:sz="0" w:space="0" w:color="auto" w:frame="1"/>
        </w:rPr>
        <w:t>расширению экономических связей,</w:t>
      </w:r>
      <w:r w:rsidRPr="00F55773">
        <w:rPr>
          <w:rFonts w:ascii="Verdana" w:hAnsi="Verdana" w:cs="Arial"/>
          <w:i/>
          <w:iCs/>
          <w:color w:val="000000"/>
          <w:spacing w:val="-2"/>
          <w:bdr w:val="none" w:sz="0" w:space="0" w:color="auto" w:frame="1"/>
        </w:rPr>
        <w:t xml:space="preserve"> и всестороннему развитию стран-участниц. Уставный капитал ЕАБР составляет 7 млрд долларов США. Основную долю в портфеле ЕАБР занимают проекты с интеграционным эффектом в сферах транспортной инфраструктуры, цифровых систем, зеленой энергетики, сельского хозяйства, промышленности и машиностроения. В своей деятельности Банк руководствуется Целями в области устойчивого развития ООН и принципами ESG.</w:t>
      </w:r>
    </w:p>
    <w:p w:rsidR="00F55773" w:rsidRPr="00F55773" w:rsidRDefault="00F55773" w:rsidP="00F55773">
      <w:pPr>
        <w:pStyle w:val="a3"/>
        <w:shd w:val="clear" w:color="auto" w:fill="FFFFFF"/>
        <w:spacing w:before="0" w:beforeAutospacing="0" w:after="120" w:afterAutospacing="0"/>
        <w:jc w:val="both"/>
        <w:textAlignment w:val="baseline"/>
        <w:rPr>
          <w:rFonts w:ascii="Verdana" w:hAnsi="Verdana" w:cs="Arial"/>
          <w:b/>
          <w:color w:val="000000"/>
          <w:spacing w:val="-2"/>
        </w:rPr>
      </w:pPr>
      <w:r w:rsidRPr="00F55773">
        <w:rPr>
          <w:rFonts w:ascii="Verdana" w:hAnsi="Verdana" w:cs="Arial"/>
          <w:b/>
          <w:color w:val="000000"/>
          <w:spacing w:val="-2"/>
          <w:bdr w:val="none" w:sz="0" w:space="0" w:color="auto" w:frame="1"/>
        </w:rPr>
        <w:t>Контакты пресс-центра ЕАБР:</w:t>
      </w:r>
    </w:p>
    <w:p w:rsidR="00F55773" w:rsidRPr="00F55773" w:rsidRDefault="00F55773" w:rsidP="00F55773">
      <w:pPr>
        <w:pStyle w:val="a3"/>
        <w:shd w:val="clear" w:color="auto" w:fill="FFFFFF"/>
        <w:spacing w:before="0" w:beforeAutospacing="0" w:after="120" w:afterAutospacing="0"/>
        <w:jc w:val="both"/>
        <w:textAlignment w:val="baseline"/>
        <w:rPr>
          <w:rFonts w:ascii="Verdana" w:hAnsi="Verdana" w:cs="Arial"/>
          <w:color w:val="000000"/>
          <w:spacing w:val="-2"/>
        </w:rPr>
      </w:pPr>
      <w:r w:rsidRPr="00F55773">
        <w:rPr>
          <w:rFonts w:ascii="Verdana" w:hAnsi="Verdana" w:cs="Arial"/>
          <w:i/>
          <w:iCs/>
          <w:color w:val="000000"/>
          <w:spacing w:val="-2"/>
          <w:bdr w:val="none" w:sz="0" w:space="0" w:color="auto" w:frame="1"/>
        </w:rPr>
        <w:t>+7 (727) 244 40 44, доб. 6147</w:t>
      </w:r>
    </w:p>
    <w:p w:rsidR="00F55773" w:rsidRPr="00F55773" w:rsidRDefault="00F55773" w:rsidP="00F55773">
      <w:pPr>
        <w:pStyle w:val="a3"/>
        <w:shd w:val="clear" w:color="auto" w:fill="FFFFFF"/>
        <w:spacing w:before="0" w:beforeAutospacing="0" w:after="120" w:afterAutospacing="0"/>
        <w:jc w:val="both"/>
        <w:textAlignment w:val="baseline"/>
        <w:rPr>
          <w:rFonts w:ascii="Verdana" w:hAnsi="Verdana" w:cs="Arial"/>
          <w:color w:val="000000"/>
          <w:spacing w:val="-2"/>
        </w:rPr>
      </w:pPr>
      <w:r w:rsidRPr="00F55773">
        <w:rPr>
          <w:rFonts w:ascii="Verdana" w:hAnsi="Verdana" w:cs="Arial"/>
          <w:i/>
          <w:iCs/>
          <w:color w:val="000000"/>
          <w:spacing w:val="-2"/>
          <w:bdr w:val="none" w:sz="0" w:space="0" w:color="auto" w:frame="1"/>
        </w:rPr>
        <w:t>pressa@eabr.org</w:t>
      </w:r>
    </w:p>
    <w:p w:rsidR="00F55773" w:rsidRPr="00F55773" w:rsidRDefault="00F55773" w:rsidP="00F55773">
      <w:pPr>
        <w:pStyle w:val="a3"/>
        <w:shd w:val="clear" w:color="auto" w:fill="FFFFFF"/>
        <w:spacing w:before="0" w:beforeAutospacing="0" w:after="120" w:afterAutospacing="0"/>
        <w:jc w:val="both"/>
        <w:textAlignment w:val="baseline"/>
        <w:rPr>
          <w:rFonts w:ascii="Verdana" w:hAnsi="Verdana"/>
          <w:b/>
        </w:rPr>
      </w:pPr>
      <w:hyperlink r:id="rId10" w:history="1">
        <w:r w:rsidRPr="00F55773">
          <w:rPr>
            <w:rStyle w:val="a4"/>
            <w:rFonts w:ascii="Verdana" w:eastAsia="Calibri" w:hAnsi="Verdana" w:cs="Arial"/>
            <w:i/>
            <w:iCs/>
            <w:color w:val="858585"/>
            <w:spacing w:val="-2"/>
            <w:bdr w:val="none" w:sz="0" w:space="0" w:color="auto" w:frame="1"/>
          </w:rPr>
          <w:t>www.eabr.org</w:t>
        </w:r>
      </w:hyperlink>
    </w:p>
    <w:p w:rsidR="002B690D" w:rsidRPr="002B690D" w:rsidRDefault="00414178">
      <w:pPr>
        <w:spacing w:after="160" w:line="259" w:lineRule="auto"/>
        <w:rPr>
          <w:rStyle w:val="a4"/>
          <w:rFonts w:ascii="Verdana" w:eastAsia="Times New Roman" w:hAnsi="Verdana" w:cs="Arial"/>
          <w:i/>
          <w:iCs/>
          <w:color w:val="003366"/>
          <w:spacing w:val="-2"/>
          <w:sz w:val="24"/>
          <w:szCs w:val="24"/>
          <w:bdr w:val="none" w:sz="0" w:space="0" w:color="auto" w:frame="1"/>
          <w:lang w:val="en-US" w:eastAsia="ru-RU"/>
        </w:rPr>
      </w:pPr>
      <w:r w:rsidRPr="002B690D">
        <w:rPr>
          <w:rStyle w:val="a4"/>
          <w:rFonts w:ascii="Verdana" w:hAnsi="Verdana" w:cs="Arial"/>
          <w:i/>
          <w:iCs/>
          <w:color w:val="003366"/>
          <w:spacing w:val="-2"/>
          <w:bdr w:val="none" w:sz="0" w:space="0" w:color="auto" w:frame="1"/>
          <w:lang w:val="en-US"/>
        </w:rPr>
        <w:br w:type="page"/>
      </w:r>
    </w:p>
    <w:p w:rsidR="002B690D" w:rsidRPr="003A6514" w:rsidRDefault="00414178" w:rsidP="00642E45">
      <w:pPr>
        <w:spacing w:before="120" w:after="120" w:line="240" w:lineRule="auto"/>
        <w:jc w:val="both"/>
        <w:rPr>
          <w:rFonts w:ascii="Verdana" w:hAnsi="Verdana" w:cs="Arial"/>
          <w:b/>
          <w:bCs/>
          <w:sz w:val="24"/>
          <w:szCs w:val="24"/>
          <w:lang w:val="en-US"/>
        </w:rPr>
      </w:pPr>
      <w:r>
        <w:rPr>
          <w:rFonts w:ascii="Verdana" w:hAnsi="Verdana" w:cs="Arial"/>
          <w:b/>
          <w:bCs/>
          <w:sz w:val="24"/>
          <w:szCs w:val="24"/>
          <w:lang w:val="en-GB"/>
        </w:rPr>
        <w:lastRenderedPageBreak/>
        <w:t xml:space="preserve">The EDB: Further enhancing the petrochemical industry is a natural economic policy priority for Eurasian </w:t>
      </w:r>
      <w:r>
        <w:rPr>
          <w:rFonts w:ascii="Verdana" w:hAnsi="Verdana" w:cs="Arial"/>
          <w:b/>
          <w:bCs/>
          <w:sz w:val="24"/>
          <w:szCs w:val="24"/>
          <w:lang w:val="en-GB"/>
        </w:rPr>
        <w:t>countries</w:t>
      </w:r>
    </w:p>
    <w:p w:rsidR="002B690D" w:rsidRPr="003A6514" w:rsidRDefault="00414178" w:rsidP="00642E45">
      <w:pPr>
        <w:spacing w:before="120" w:after="120" w:line="240" w:lineRule="auto"/>
        <w:jc w:val="both"/>
        <w:rPr>
          <w:rFonts w:ascii="Verdana" w:hAnsi="Verdana" w:cs="Arial"/>
          <w:i/>
          <w:sz w:val="24"/>
          <w:szCs w:val="24"/>
          <w:lang w:val="en-US"/>
        </w:rPr>
      </w:pPr>
      <w:r>
        <w:rPr>
          <w:rFonts w:ascii="Verdana" w:hAnsi="Verdana" w:cs="Arial"/>
          <w:i/>
          <w:iCs/>
          <w:sz w:val="24"/>
          <w:szCs w:val="24"/>
          <w:lang w:val="en-GB"/>
        </w:rPr>
        <w:t>The petrochemical industry is a high-tech sector with a significant multiplier effect. It produces four out of every five items commonly used by people today. Currently, the industry is undergoing global structural changes, presenting significant opportuni</w:t>
      </w:r>
      <w:r>
        <w:rPr>
          <w:rFonts w:ascii="Verdana" w:hAnsi="Verdana" w:cs="Arial"/>
          <w:i/>
          <w:iCs/>
          <w:sz w:val="24"/>
          <w:szCs w:val="24"/>
          <w:lang w:val="en-GB"/>
        </w:rPr>
        <w:t xml:space="preserve">ties for Eurasian economies. The Bank’s latest report titled </w:t>
      </w:r>
      <w:r>
        <w:rPr>
          <w:rFonts w:ascii="Verdana" w:hAnsi="Verdana" w:cs="Arial"/>
          <w:sz w:val="24"/>
          <w:szCs w:val="24"/>
          <w:lang w:val="en-GB"/>
        </w:rPr>
        <w:t>Eurasian Petrochemical Industry: Opportunities for Deeper Processing</w:t>
      </w:r>
      <w:r>
        <w:rPr>
          <w:rFonts w:ascii="Verdana" w:hAnsi="Verdana" w:cs="Arial"/>
          <w:i/>
          <w:iCs/>
          <w:sz w:val="24"/>
          <w:szCs w:val="24"/>
          <w:lang w:val="en-GB"/>
        </w:rPr>
        <w:t xml:space="preserve"> outlines blocks of priority measures to unlock available potential. These include a clustering policy, additional focus on low</w:t>
      </w:r>
      <w:r>
        <w:rPr>
          <w:rFonts w:ascii="Verdana" w:hAnsi="Verdana" w:cs="Arial"/>
          <w:i/>
          <w:iCs/>
          <w:sz w:val="24"/>
          <w:szCs w:val="24"/>
          <w:lang w:val="en-GB"/>
        </w:rPr>
        <w:t>-tonnage petrochemical production, and the implementation of circular production mechanisms. Unleashing the Eurasian region’s potential will make the petrochemical industry an effective way to address “path dependence” by enhancing process stages, promotin</w:t>
      </w:r>
      <w:r>
        <w:rPr>
          <w:rFonts w:ascii="Verdana" w:hAnsi="Verdana" w:cs="Arial"/>
          <w:i/>
          <w:iCs/>
          <w:sz w:val="24"/>
          <w:szCs w:val="24"/>
          <w:lang w:val="en-GB"/>
        </w:rPr>
        <w:t>g technological advancements and securing a foothold in the global division of labour.</w:t>
      </w:r>
    </w:p>
    <w:p w:rsidR="002B690D" w:rsidRDefault="00414178" w:rsidP="00642E45">
      <w:pPr>
        <w:spacing w:before="120" w:after="120" w:line="240" w:lineRule="auto"/>
        <w:jc w:val="both"/>
        <w:rPr>
          <w:rFonts w:ascii="Verdana" w:hAnsi="Verdana"/>
          <w:sz w:val="24"/>
          <w:szCs w:val="24"/>
          <w:lang w:val="en-GB"/>
        </w:rPr>
      </w:pPr>
      <w:r>
        <w:rPr>
          <w:rFonts w:ascii="Verdana" w:hAnsi="Verdana"/>
          <w:b/>
          <w:bCs/>
          <w:sz w:val="24"/>
          <w:szCs w:val="24"/>
          <w:lang w:val="en-GB"/>
        </w:rPr>
        <w:t xml:space="preserve">Almaty, April 2024. </w:t>
      </w:r>
      <w:r>
        <w:rPr>
          <w:rFonts w:ascii="Verdana" w:hAnsi="Verdana"/>
          <w:sz w:val="24"/>
          <w:szCs w:val="24"/>
          <w:lang w:val="en-GB"/>
        </w:rPr>
        <w:t xml:space="preserve">The petrochemical industry in the Eurasian region is developing </w:t>
      </w:r>
      <w:r>
        <w:rPr>
          <w:rFonts w:ascii="Verdana" w:hAnsi="Verdana"/>
          <w:b/>
          <w:bCs/>
          <w:sz w:val="24"/>
          <w:szCs w:val="24"/>
          <w:lang w:val="en-GB"/>
        </w:rPr>
        <w:t>rapidly</w:t>
      </w:r>
      <w:r>
        <w:rPr>
          <w:rFonts w:ascii="Verdana" w:hAnsi="Verdana"/>
          <w:sz w:val="24"/>
          <w:szCs w:val="24"/>
          <w:lang w:val="en-GB"/>
        </w:rPr>
        <w:t xml:space="preserve">. Over the past six years, the total production of basic polymers </w:t>
      </w:r>
      <w:r w:rsidRPr="00B619F4">
        <w:rPr>
          <w:rFonts w:ascii="Verdana" w:hAnsi="Verdana"/>
          <w:sz w:val="24"/>
          <w:szCs w:val="24"/>
          <w:lang w:val="en-GB"/>
        </w:rPr>
        <w:t>(</w:t>
      </w:r>
      <w:r w:rsidRPr="00B619F4">
        <w:rPr>
          <w:rFonts w:ascii="Verdana" w:hAnsi="Verdana"/>
          <w:i/>
          <w:iCs/>
          <w:sz w:val="24"/>
          <w:szCs w:val="24"/>
          <w:lang w:val="en-GB"/>
        </w:rPr>
        <w:t>polyethylen</w:t>
      </w:r>
      <w:r w:rsidRPr="00B619F4">
        <w:rPr>
          <w:rFonts w:ascii="Verdana" w:hAnsi="Verdana"/>
          <w:i/>
          <w:iCs/>
          <w:sz w:val="24"/>
          <w:szCs w:val="24"/>
          <w:lang w:val="en-GB"/>
        </w:rPr>
        <w:t>e, polypropylene, polyvinyl chloride, polystyrene, polyethylene terephthalate</w:t>
      </w:r>
      <w:r>
        <w:rPr>
          <w:rFonts w:ascii="Verdana" w:hAnsi="Verdana"/>
          <w:i/>
          <w:iCs/>
          <w:sz w:val="24"/>
          <w:szCs w:val="24"/>
          <w:lang w:val="en-GB"/>
        </w:rPr>
        <w:t xml:space="preserve"> and</w:t>
      </w:r>
      <w:r w:rsidRPr="00B619F4">
        <w:rPr>
          <w:rFonts w:ascii="Verdana" w:hAnsi="Verdana"/>
          <w:i/>
          <w:iCs/>
          <w:sz w:val="24"/>
          <w:szCs w:val="24"/>
          <w:lang w:val="en-GB"/>
        </w:rPr>
        <w:t xml:space="preserve"> synthetic rubber</w:t>
      </w:r>
      <w:r w:rsidRPr="00B619F4">
        <w:rPr>
          <w:rFonts w:ascii="Verdana" w:hAnsi="Verdana"/>
          <w:sz w:val="24"/>
          <w:szCs w:val="24"/>
          <w:lang w:val="en-GB"/>
        </w:rPr>
        <w:t>)</w:t>
      </w:r>
      <w:r>
        <w:rPr>
          <w:rFonts w:ascii="Verdana" w:hAnsi="Verdana"/>
          <w:sz w:val="24"/>
          <w:szCs w:val="24"/>
          <w:lang w:val="en-GB"/>
        </w:rPr>
        <w:t xml:space="preserve"> has increased by 1.5 times, rising from 5.8 million tonnes in 2017 to 8.4 million tonnes in 2022.</w:t>
      </w:r>
    </w:p>
    <w:p w:rsidR="002B690D" w:rsidRPr="00B619F4" w:rsidRDefault="00414178" w:rsidP="00642E45">
      <w:pPr>
        <w:spacing w:before="120" w:after="120" w:line="240" w:lineRule="auto"/>
        <w:jc w:val="both"/>
        <w:rPr>
          <w:rFonts w:ascii="Verdana" w:hAnsi="Verdana"/>
          <w:sz w:val="24"/>
          <w:szCs w:val="24"/>
          <w:lang w:val="en-US"/>
        </w:rPr>
      </w:pPr>
      <w:r>
        <w:rPr>
          <w:rFonts w:ascii="Verdana" w:hAnsi="Verdana"/>
          <w:sz w:val="24"/>
          <w:szCs w:val="24"/>
          <w:lang w:val="en-GB"/>
        </w:rPr>
        <w:t xml:space="preserve">By 2025, unlocking the petrochemical production potential </w:t>
      </w:r>
      <w:r>
        <w:rPr>
          <w:rFonts w:ascii="Verdana" w:hAnsi="Verdana"/>
          <w:sz w:val="24"/>
          <w:szCs w:val="24"/>
          <w:lang w:val="en-GB"/>
        </w:rPr>
        <w:t xml:space="preserve">could yield </w:t>
      </w:r>
      <w:r>
        <w:rPr>
          <w:rFonts w:ascii="Verdana" w:hAnsi="Verdana"/>
          <w:b/>
          <w:bCs/>
          <w:sz w:val="24"/>
          <w:szCs w:val="24"/>
          <w:lang w:val="en-GB"/>
        </w:rPr>
        <w:t>significant economic benefits</w:t>
      </w:r>
      <w:r>
        <w:rPr>
          <w:rFonts w:ascii="Verdana" w:hAnsi="Verdana"/>
          <w:sz w:val="24"/>
          <w:szCs w:val="24"/>
          <w:lang w:val="en-GB"/>
        </w:rPr>
        <w:t xml:space="preserve"> for the region, including:</w:t>
      </w:r>
    </w:p>
    <w:p w:rsidR="002B690D" w:rsidRPr="003A6514" w:rsidRDefault="00414178" w:rsidP="00642E45">
      <w:pPr>
        <w:pStyle w:val="a9"/>
        <w:numPr>
          <w:ilvl w:val="0"/>
          <w:numId w:val="12"/>
        </w:numPr>
        <w:spacing w:before="120" w:after="120" w:line="240" w:lineRule="auto"/>
        <w:contextualSpacing w:val="0"/>
        <w:jc w:val="both"/>
        <w:rPr>
          <w:rFonts w:ascii="Verdana" w:hAnsi="Verdana"/>
          <w:sz w:val="24"/>
          <w:szCs w:val="24"/>
          <w:lang w:val="en-US"/>
        </w:rPr>
      </w:pPr>
      <w:r>
        <w:rPr>
          <w:rFonts w:ascii="Verdana" w:hAnsi="Verdana"/>
          <w:sz w:val="24"/>
          <w:szCs w:val="24"/>
          <w:lang w:val="en-GB"/>
        </w:rPr>
        <w:t xml:space="preserve">an annual increase in the </w:t>
      </w:r>
      <w:r>
        <w:rPr>
          <w:rFonts w:ascii="Verdana" w:hAnsi="Verdana"/>
          <w:b/>
          <w:bCs/>
          <w:sz w:val="24"/>
          <w:szCs w:val="24"/>
          <w:lang w:val="en-GB"/>
        </w:rPr>
        <w:t>output of base polymers</w:t>
      </w:r>
      <w:r>
        <w:rPr>
          <w:rFonts w:ascii="Verdana" w:hAnsi="Verdana"/>
          <w:sz w:val="24"/>
          <w:szCs w:val="24"/>
          <w:lang w:val="en-GB"/>
        </w:rPr>
        <w:t xml:space="preserve"> and synthetic rubber of </w:t>
      </w:r>
      <w:r>
        <w:rPr>
          <w:rFonts w:ascii="Verdana" w:hAnsi="Verdana"/>
          <w:b/>
          <w:bCs/>
          <w:sz w:val="24"/>
          <w:szCs w:val="24"/>
          <w:lang w:val="en-GB"/>
        </w:rPr>
        <w:t>up to 5.8%</w:t>
      </w:r>
      <w:r>
        <w:rPr>
          <w:rFonts w:ascii="Verdana" w:hAnsi="Verdana"/>
          <w:sz w:val="24"/>
          <w:szCs w:val="24"/>
          <w:lang w:val="en-GB"/>
        </w:rPr>
        <w:t>. In total, polymer production may surpass 20 million tonnes, more than doubling the current output;</w:t>
      </w:r>
    </w:p>
    <w:p w:rsidR="002B690D" w:rsidRPr="003A6514" w:rsidRDefault="00414178" w:rsidP="00642E45">
      <w:pPr>
        <w:pStyle w:val="a9"/>
        <w:numPr>
          <w:ilvl w:val="0"/>
          <w:numId w:val="12"/>
        </w:numPr>
        <w:spacing w:before="120" w:after="120" w:line="240" w:lineRule="auto"/>
        <w:contextualSpacing w:val="0"/>
        <w:jc w:val="both"/>
        <w:rPr>
          <w:rFonts w:ascii="Verdana" w:hAnsi="Verdana"/>
          <w:sz w:val="24"/>
          <w:szCs w:val="24"/>
          <w:lang w:val="en-US"/>
        </w:rPr>
      </w:pPr>
      <w:r>
        <w:rPr>
          <w:rFonts w:ascii="Verdana" w:hAnsi="Verdana"/>
          <w:sz w:val="24"/>
          <w:szCs w:val="24"/>
          <w:lang w:val="en-GB"/>
        </w:rPr>
        <w:t xml:space="preserve">an annual increase in the Eurasian region’s </w:t>
      </w:r>
      <w:r>
        <w:rPr>
          <w:rFonts w:ascii="Verdana" w:hAnsi="Verdana"/>
          <w:b/>
          <w:bCs/>
          <w:sz w:val="24"/>
          <w:szCs w:val="24"/>
          <w:lang w:val="en-GB"/>
        </w:rPr>
        <w:t>GDP</w:t>
      </w:r>
      <w:r>
        <w:rPr>
          <w:rFonts w:ascii="Verdana" w:hAnsi="Verdana"/>
          <w:sz w:val="24"/>
          <w:szCs w:val="24"/>
          <w:lang w:val="en-GB"/>
        </w:rPr>
        <w:t xml:space="preserve"> by up to </w:t>
      </w:r>
      <w:r>
        <w:rPr>
          <w:rFonts w:ascii="Verdana" w:hAnsi="Verdana"/>
          <w:b/>
          <w:bCs/>
          <w:sz w:val="24"/>
          <w:szCs w:val="24"/>
          <w:lang w:val="en-GB"/>
        </w:rPr>
        <w:t>0.44 pp</w:t>
      </w:r>
      <w:r>
        <w:rPr>
          <w:rFonts w:ascii="Verdana" w:hAnsi="Verdana"/>
          <w:sz w:val="24"/>
          <w:szCs w:val="24"/>
          <w:lang w:val="en-GB"/>
        </w:rPr>
        <w:t xml:space="preserve"> </w:t>
      </w:r>
      <w:r>
        <w:rPr>
          <w:rFonts w:ascii="Verdana" w:hAnsi="Verdana"/>
          <w:sz w:val="24"/>
          <w:szCs w:val="20"/>
          <w:lang w:val="en-GB"/>
        </w:rPr>
        <w:t>(</w:t>
      </w:r>
      <w:r>
        <w:rPr>
          <w:rFonts w:ascii="Verdana" w:hAnsi="Verdana"/>
          <w:i/>
          <w:iCs/>
          <w:sz w:val="24"/>
          <w:szCs w:val="20"/>
          <w:lang w:val="en-GB"/>
        </w:rPr>
        <w:t>ratio of the average annual total investment and output growth effect on GDP to the GDP volume in 2022</w:t>
      </w:r>
      <w:r>
        <w:rPr>
          <w:rFonts w:ascii="Verdana" w:hAnsi="Verdana"/>
          <w:sz w:val="24"/>
          <w:szCs w:val="20"/>
          <w:lang w:val="en-GB"/>
        </w:rPr>
        <w:t xml:space="preserve">). The indicator for Russia and Kazakhstan stands at 0.32 p.p. and 1.38 p.p., </w:t>
      </w:r>
      <w:r>
        <w:rPr>
          <w:rFonts w:ascii="Verdana" w:hAnsi="Verdana"/>
          <w:sz w:val="24"/>
          <w:szCs w:val="20"/>
          <w:lang w:val="en-GB"/>
        </w:rPr>
        <w:t>respectively. In total, by 2035, the region’s GDP may receive an additional US $153.5 billion; and</w:t>
      </w:r>
    </w:p>
    <w:p w:rsidR="002B690D" w:rsidRPr="00D40D17" w:rsidRDefault="00414178" w:rsidP="00642E45">
      <w:pPr>
        <w:pStyle w:val="a9"/>
        <w:numPr>
          <w:ilvl w:val="0"/>
          <w:numId w:val="12"/>
        </w:numPr>
        <w:spacing w:before="120" w:after="120" w:line="240" w:lineRule="auto"/>
        <w:contextualSpacing w:val="0"/>
        <w:jc w:val="both"/>
        <w:rPr>
          <w:rFonts w:ascii="Verdana" w:hAnsi="Verdana"/>
          <w:sz w:val="24"/>
          <w:szCs w:val="24"/>
          <w:lang w:val="en-US"/>
        </w:rPr>
      </w:pPr>
      <w:r>
        <w:rPr>
          <w:rFonts w:ascii="Verdana" w:hAnsi="Verdana"/>
          <w:sz w:val="24"/>
          <w:szCs w:val="24"/>
          <w:lang w:val="en-GB"/>
        </w:rPr>
        <w:t xml:space="preserve">a </w:t>
      </w:r>
      <w:r>
        <w:rPr>
          <w:rFonts w:ascii="Verdana" w:hAnsi="Verdana"/>
          <w:b/>
          <w:bCs/>
          <w:sz w:val="24"/>
          <w:szCs w:val="24"/>
          <w:lang w:val="en-GB"/>
        </w:rPr>
        <w:t>3.2-fold increase</w:t>
      </w:r>
      <w:r>
        <w:rPr>
          <w:rFonts w:ascii="Verdana" w:hAnsi="Verdana"/>
          <w:sz w:val="24"/>
          <w:szCs w:val="24"/>
          <w:lang w:val="en-GB"/>
        </w:rPr>
        <w:t xml:space="preserve"> in petrochemical </w:t>
      </w:r>
      <w:r>
        <w:rPr>
          <w:rFonts w:ascii="Verdana" w:hAnsi="Verdana"/>
          <w:b/>
          <w:bCs/>
          <w:sz w:val="24"/>
          <w:szCs w:val="24"/>
          <w:lang w:val="en-GB"/>
        </w:rPr>
        <w:t>exports</w:t>
      </w:r>
      <w:r>
        <w:rPr>
          <w:rFonts w:ascii="Verdana" w:hAnsi="Verdana"/>
          <w:sz w:val="24"/>
          <w:szCs w:val="24"/>
          <w:lang w:val="en-GB"/>
        </w:rPr>
        <w:t>, rising by 7.2 million tonnes to 10.4 million tonnes.</w:t>
      </w:r>
    </w:p>
    <w:p w:rsidR="002B690D" w:rsidRPr="0009495E" w:rsidRDefault="00414178" w:rsidP="00D201C1">
      <w:pPr>
        <w:spacing w:before="120" w:after="120" w:line="240" w:lineRule="auto"/>
        <w:jc w:val="both"/>
        <w:rPr>
          <w:rFonts w:ascii="Verdana" w:hAnsi="Verdana"/>
          <w:sz w:val="24"/>
          <w:szCs w:val="24"/>
          <w:lang w:val="en-US"/>
        </w:rPr>
      </w:pPr>
      <w:r w:rsidRPr="0009495E">
        <w:rPr>
          <w:rFonts w:ascii="Verdana" w:hAnsi="Verdana"/>
          <w:sz w:val="24"/>
          <w:szCs w:val="24"/>
          <w:lang w:val="en-GB"/>
        </w:rPr>
        <w:t xml:space="preserve">The petrochemical industry is a high-tech sector, akin to </w:t>
      </w:r>
      <w:r w:rsidRPr="0009495E">
        <w:rPr>
          <w:rFonts w:ascii="Verdana" w:hAnsi="Verdana"/>
          <w:sz w:val="24"/>
          <w:szCs w:val="24"/>
          <w:lang w:val="en-GB"/>
        </w:rPr>
        <w:t xml:space="preserve">computer manufacturing, mechanical engineering and the pharmaceutical industry. It has a </w:t>
      </w:r>
      <w:r w:rsidRPr="0009495E">
        <w:rPr>
          <w:rFonts w:ascii="Verdana" w:hAnsi="Verdana"/>
          <w:b/>
          <w:bCs/>
          <w:sz w:val="24"/>
          <w:szCs w:val="24"/>
          <w:lang w:val="en-GB"/>
        </w:rPr>
        <w:t>high multiplier effect and the potential to foster a transition toward an innovative economic development model</w:t>
      </w:r>
      <w:r w:rsidRPr="0009495E">
        <w:rPr>
          <w:rFonts w:ascii="Verdana" w:hAnsi="Verdana"/>
          <w:sz w:val="24"/>
          <w:szCs w:val="24"/>
          <w:lang w:val="en-GB"/>
        </w:rPr>
        <w:t xml:space="preserve"> (</w:t>
      </w:r>
      <w:r w:rsidRPr="0009495E">
        <w:rPr>
          <w:rFonts w:ascii="Verdana" w:hAnsi="Verdana"/>
          <w:i/>
          <w:iCs/>
          <w:sz w:val="24"/>
          <w:szCs w:val="24"/>
          <w:lang w:val="en-GB"/>
        </w:rPr>
        <w:t xml:space="preserve">the multiplier effect </w:t>
      </w:r>
      <w:r>
        <w:rPr>
          <w:rFonts w:ascii="Verdana" w:hAnsi="Verdana"/>
          <w:i/>
          <w:iCs/>
          <w:sz w:val="24"/>
          <w:szCs w:val="24"/>
          <w:lang w:val="en-GB"/>
        </w:rPr>
        <w:t xml:space="preserve">is </w:t>
      </w:r>
      <w:r w:rsidRPr="0009495E">
        <w:rPr>
          <w:rFonts w:ascii="Verdana" w:hAnsi="Verdana"/>
          <w:i/>
          <w:iCs/>
          <w:sz w:val="24"/>
          <w:szCs w:val="24"/>
          <w:lang w:val="en-GB"/>
        </w:rPr>
        <w:t>estimated at US $2.62 of gros</w:t>
      </w:r>
      <w:r w:rsidRPr="0009495E">
        <w:rPr>
          <w:rFonts w:ascii="Verdana" w:hAnsi="Verdana"/>
          <w:i/>
          <w:iCs/>
          <w:sz w:val="24"/>
          <w:szCs w:val="24"/>
          <w:lang w:val="en-GB"/>
        </w:rPr>
        <w:t>s output per US $1 of industry output</w:t>
      </w:r>
      <w:r w:rsidRPr="0009495E">
        <w:rPr>
          <w:rFonts w:ascii="Verdana" w:hAnsi="Verdana"/>
          <w:sz w:val="24"/>
          <w:szCs w:val="24"/>
          <w:lang w:val="en-GB"/>
        </w:rPr>
        <w:t xml:space="preserve">). </w:t>
      </w:r>
    </w:p>
    <w:p w:rsidR="002B690D" w:rsidRDefault="00414178" w:rsidP="00642E45">
      <w:pPr>
        <w:spacing w:before="120" w:after="120" w:line="240" w:lineRule="auto"/>
        <w:jc w:val="both"/>
        <w:rPr>
          <w:rFonts w:ascii="Verdana" w:hAnsi="Verdana"/>
          <w:sz w:val="24"/>
          <w:szCs w:val="24"/>
          <w:lang w:val="en-GB"/>
        </w:rPr>
      </w:pPr>
      <w:r>
        <w:rPr>
          <w:rFonts w:ascii="Verdana" w:hAnsi="Verdana"/>
          <w:sz w:val="24"/>
          <w:szCs w:val="24"/>
          <w:lang w:val="en-GB"/>
        </w:rPr>
        <w:t xml:space="preserve">The sector is characterised by a </w:t>
      </w:r>
      <w:r>
        <w:rPr>
          <w:rFonts w:ascii="Verdana" w:hAnsi="Verdana"/>
          <w:b/>
          <w:bCs/>
          <w:sz w:val="24"/>
          <w:szCs w:val="24"/>
          <w:lang w:val="en-GB"/>
        </w:rPr>
        <w:t>rapid increase in added value along the process chain</w:t>
      </w:r>
      <w:r>
        <w:rPr>
          <w:rFonts w:ascii="Verdana" w:hAnsi="Verdana"/>
          <w:sz w:val="24"/>
          <w:szCs w:val="24"/>
          <w:lang w:val="en-GB"/>
        </w:rPr>
        <w:t xml:space="preserve"> (Figure A). As production progresses from one process stage to the next, newly generated added value grows exponentially. Prices</w:t>
      </w:r>
      <w:r>
        <w:rPr>
          <w:rFonts w:ascii="Verdana" w:hAnsi="Verdana"/>
          <w:sz w:val="24"/>
          <w:szCs w:val="24"/>
          <w:lang w:val="en-GB"/>
        </w:rPr>
        <w:t xml:space="preserve"> for base raw materials and final polymer products may differ by more than 20-fold. Deep hydrocarbon conversion process stages are not only highly profitable but also enhance the resilience of mining and processing businesses.</w:t>
      </w:r>
    </w:p>
    <w:p w:rsidR="002B690D" w:rsidRPr="003A6514" w:rsidRDefault="00414178" w:rsidP="00642E45">
      <w:pPr>
        <w:spacing w:before="120" w:after="120" w:line="240" w:lineRule="auto"/>
        <w:rPr>
          <w:rFonts w:ascii="Verdana" w:hAnsi="Verdana"/>
          <w:b/>
          <w:sz w:val="20"/>
          <w:szCs w:val="24"/>
          <w:lang w:val="en-US"/>
        </w:rPr>
      </w:pPr>
      <w:r>
        <w:rPr>
          <w:rFonts w:ascii="Verdana" w:hAnsi="Verdana"/>
          <w:b/>
          <w:bCs/>
          <w:sz w:val="20"/>
          <w:szCs w:val="24"/>
          <w:lang w:val="en-GB"/>
        </w:rPr>
        <w:t>Figure A. Product value per t</w:t>
      </w:r>
      <w:r>
        <w:rPr>
          <w:rFonts w:ascii="Verdana" w:hAnsi="Verdana"/>
          <w:b/>
          <w:bCs/>
          <w:sz w:val="20"/>
          <w:szCs w:val="24"/>
          <w:lang w:val="en-GB"/>
        </w:rPr>
        <w:t>onne at different process stages from raw materials to finished products</w:t>
      </w:r>
    </w:p>
    <w:p w:rsidR="002B690D" w:rsidRDefault="002B690D" w:rsidP="00642E45">
      <w:pPr>
        <w:spacing w:before="120" w:after="120" w:line="240" w:lineRule="auto"/>
        <w:rPr>
          <w:rFonts w:ascii="Verdana" w:hAnsi="Verdana"/>
          <w:szCs w:val="24"/>
          <w:lang w:val="en-US"/>
        </w:rPr>
      </w:pPr>
    </w:p>
    <w:p w:rsidR="002B690D" w:rsidRPr="003A6514" w:rsidRDefault="00414178" w:rsidP="00642E45">
      <w:pPr>
        <w:spacing w:before="120" w:after="120" w:line="240" w:lineRule="auto"/>
        <w:rPr>
          <w:rFonts w:ascii="Verdana" w:hAnsi="Verdana"/>
          <w:szCs w:val="24"/>
          <w:lang w:val="en-US"/>
        </w:rPr>
      </w:pPr>
      <w:r>
        <w:rPr>
          <w:noProof/>
          <w:lang w:eastAsia="ru-RU"/>
        </w:rPr>
        <w:lastRenderedPageBreak/>
        <w:drawing>
          <wp:inline distT="0" distB="0" distL="0" distR="0">
            <wp:extent cx="6120765" cy="4191000"/>
            <wp:effectExtent l="0" t="0" r="0" b="0"/>
            <wp:docPr id="78862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059485" name=""/>
                    <pic:cNvPicPr/>
                  </pic:nvPicPr>
                  <pic:blipFill>
                    <a:blip r:embed="rId11"/>
                    <a:stretch>
                      <a:fillRect/>
                    </a:stretch>
                  </pic:blipFill>
                  <pic:spPr>
                    <a:xfrm>
                      <a:off x="0" y="0"/>
                      <a:ext cx="6120765" cy="4191000"/>
                    </a:xfrm>
                    <a:prstGeom prst="rect">
                      <a:avLst/>
                    </a:prstGeom>
                  </pic:spPr>
                </pic:pic>
              </a:graphicData>
            </a:graphic>
          </wp:inline>
        </w:drawing>
      </w:r>
    </w:p>
    <w:p w:rsidR="002B690D" w:rsidRPr="003A6514" w:rsidRDefault="00414178" w:rsidP="00642E45">
      <w:pPr>
        <w:spacing w:before="120" w:after="120" w:line="240" w:lineRule="auto"/>
        <w:rPr>
          <w:rFonts w:ascii="Verdana" w:hAnsi="Verdana"/>
          <w:i/>
          <w:sz w:val="18"/>
          <w:szCs w:val="24"/>
          <w:lang w:val="en-US"/>
        </w:rPr>
      </w:pPr>
      <w:r>
        <w:rPr>
          <w:rFonts w:ascii="Verdana" w:hAnsi="Verdana"/>
          <w:b/>
          <w:bCs/>
          <w:i/>
          <w:iCs/>
          <w:sz w:val="18"/>
          <w:szCs w:val="24"/>
          <w:lang w:val="en-GB"/>
        </w:rPr>
        <w:t xml:space="preserve">Source: </w:t>
      </w:r>
      <w:r>
        <w:rPr>
          <w:rFonts w:ascii="Verdana" w:hAnsi="Verdana"/>
          <w:i/>
          <w:iCs/>
          <w:sz w:val="18"/>
          <w:szCs w:val="24"/>
          <w:lang w:val="en-GB"/>
        </w:rPr>
        <w:t>Ivanov, 2016.</w:t>
      </w:r>
    </w:p>
    <w:p w:rsidR="002B690D" w:rsidRPr="00EE69D1" w:rsidRDefault="00414178" w:rsidP="00642E45">
      <w:pPr>
        <w:spacing w:before="120" w:after="120" w:line="240" w:lineRule="auto"/>
        <w:jc w:val="both"/>
        <w:rPr>
          <w:rFonts w:ascii="Verdana" w:hAnsi="Verdana"/>
          <w:sz w:val="24"/>
          <w:szCs w:val="24"/>
          <w:lang w:val="en-US"/>
        </w:rPr>
      </w:pPr>
      <w:r>
        <w:rPr>
          <w:rFonts w:ascii="Verdana" w:hAnsi="Verdana"/>
          <w:sz w:val="24"/>
          <w:szCs w:val="24"/>
          <w:lang w:val="en-GB"/>
        </w:rPr>
        <w:t xml:space="preserve">Further strengthening the petrochemical industry is a natural economic policy priority for the countries of the Eurasian region. All conditions for that are in place: </w:t>
      </w:r>
    </w:p>
    <w:p w:rsidR="002B690D" w:rsidRPr="003A6514" w:rsidRDefault="00414178" w:rsidP="00642E45">
      <w:pPr>
        <w:pStyle w:val="a9"/>
        <w:numPr>
          <w:ilvl w:val="0"/>
          <w:numId w:val="13"/>
        </w:numPr>
        <w:spacing w:before="120" w:after="120" w:line="240" w:lineRule="auto"/>
        <w:contextualSpacing w:val="0"/>
        <w:jc w:val="both"/>
        <w:rPr>
          <w:rFonts w:ascii="Verdana" w:hAnsi="Verdana"/>
          <w:sz w:val="24"/>
          <w:szCs w:val="24"/>
          <w:lang w:val="en-US"/>
        </w:rPr>
      </w:pPr>
      <w:r>
        <w:rPr>
          <w:rFonts w:ascii="Verdana" w:hAnsi="Verdana"/>
          <w:b/>
          <w:bCs/>
          <w:sz w:val="24"/>
          <w:szCs w:val="24"/>
          <w:lang w:val="en-GB"/>
        </w:rPr>
        <w:t>Huge resource potential.</w:t>
      </w:r>
      <w:r>
        <w:rPr>
          <w:rFonts w:ascii="Verdana" w:hAnsi="Verdana"/>
          <w:sz w:val="24"/>
          <w:szCs w:val="24"/>
          <w:lang w:val="en-GB"/>
        </w:rPr>
        <w:t xml:space="preserve"> Total proven oil reserves are 115 billion barrels (</w:t>
      </w:r>
      <w:r>
        <w:rPr>
          <w:rFonts w:ascii="Verdana" w:hAnsi="Verdana"/>
          <w:i/>
          <w:iCs/>
          <w:sz w:val="24"/>
          <w:szCs w:val="24"/>
          <w:lang w:val="en-GB"/>
        </w:rPr>
        <w:t>more than 7%</w:t>
      </w:r>
      <w:r>
        <w:rPr>
          <w:rFonts w:ascii="Verdana" w:hAnsi="Verdana"/>
          <w:i/>
          <w:iCs/>
          <w:sz w:val="24"/>
          <w:szCs w:val="24"/>
          <w:lang w:val="en-GB"/>
        </w:rPr>
        <w:t xml:space="preserve"> of world reserves</w:t>
      </w:r>
      <w:r>
        <w:rPr>
          <w:rFonts w:ascii="Verdana" w:hAnsi="Verdana"/>
          <w:sz w:val="24"/>
          <w:szCs w:val="24"/>
          <w:lang w:val="en-GB"/>
        </w:rPr>
        <w:t>), while total proven gas reserves amount to 62.8 trillion cubic metres (</w:t>
      </w:r>
      <w:r>
        <w:rPr>
          <w:rFonts w:ascii="Verdana" w:hAnsi="Verdana"/>
          <w:i/>
          <w:iCs/>
          <w:sz w:val="24"/>
          <w:szCs w:val="24"/>
          <w:lang w:val="en-GB"/>
        </w:rPr>
        <w:t>approximately 30% of world reserves</w:t>
      </w:r>
      <w:r>
        <w:rPr>
          <w:rFonts w:ascii="Verdana" w:hAnsi="Verdana"/>
          <w:sz w:val="24"/>
          <w:szCs w:val="24"/>
          <w:lang w:val="en-GB"/>
        </w:rPr>
        <w:t>).</w:t>
      </w:r>
    </w:p>
    <w:p w:rsidR="002B690D" w:rsidRPr="003A6514" w:rsidRDefault="00414178" w:rsidP="00642E45">
      <w:pPr>
        <w:pStyle w:val="a9"/>
        <w:numPr>
          <w:ilvl w:val="0"/>
          <w:numId w:val="13"/>
        </w:numPr>
        <w:spacing w:before="120" w:after="120" w:line="240" w:lineRule="auto"/>
        <w:contextualSpacing w:val="0"/>
        <w:jc w:val="both"/>
        <w:rPr>
          <w:rFonts w:ascii="Verdana" w:hAnsi="Verdana"/>
          <w:sz w:val="24"/>
          <w:szCs w:val="24"/>
          <w:lang w:val="en-US"/>
        </w:rPr>
      </w:pPr>
      <w:r>
        <w:rPr>
          <w:rFonts w:ascii="Verdana" w:hAnsi="Verdana"/>
          <w:b/>
          <w:bCs/>
          <w:sz w:val="24"/>
          <w:szCs w:val="24"/>
          <w:lang w:val="en-GB"/>
        </w:rPr>
        <w:t>Long-standing tradition of petrochemical industry development</w:t>
      </w:r>
      <w:r>
        <w:rPr>
          <w:rFonts w:ascii="Verdana" w:hAnsi="Verdana"/>
          <w:sz w:val="24"/>
          <w:szCs w:val="24"/>
          <w:lang w:val="en-GB"/>
        </w:rPr>
        <w:t>, including the production and establishment of related scientific</w:t>
      </w:r>
      <w:r>
        <w:rPr>
          <w:rFonts w:ascii="Verdana" w:hAnsi="Verdana"/>
          <w:sz w:val="24"/>
          <w:szCs w:val="24"/>
          <w:lang w:val="en-GB"/>
        </w:rPr>
        <w:t xml:space="preserve"> and technological foundations.</w:t>
      </w:r>
    </w:p>
    <w:p w:rsidR="002B690D" w:rsidRPr="003A6514" w:rsidRDefault="00414178" w:rsidP="00642E45">
      <w:pPr>
        <w:pStyle w:val="a9"/>
        <w:numPr>
          <w:ilvl w:val="0"/>
          <w:numId w:val="13"/>
        </w:numPr>
        <w:spacing w:before="120" w:after="120" w:line="240" w:lineRule="auto"/>
        <w:contextualSpacing w:val="0"/>
        <w:jc w:val="both"/>
        <w:rPr>
          <w:rFonts w:ascii="Verdana" w:hAnsi="Verdana"/>
          <w:sz w:val="24"/>
          <w:szCs w:val="24"/>
          <w:lang w:val="en-US"/>
        </w:rPr>
      </w:pPr>
      <w:r>
        <w:rPr>
          <w:rFonts w:ascii="Verdana" w:hAnsi="Verdana"/>
          <w:b/>
          <w:bCs/>
          <w:sz w:val="24"/>
          <w:szCs w:val="24"/>
          <w:lang w:val="en-GB"/>
        </w:rPr>
        <w:t>Proactive government policies</w:t>
      </w:r>
      <w:r>
        <w:rPr>
          <w:rFonts w:ascii="Verdana" w:hAnsi="Verdana"/>
          <w:sz w:val="24"/>
          <w:szCs w:val="24"/>
          <w:lang w:val="en-GB"/>
        </w:rPr>
        <w:t xml:space="preserve"> aimed at advancing petrochemical projects. There are over 20 ongoing large-scale petrochemical projects valued at more than US $200 billion.</w:t>
      </w:r>
    </w:p>
    <w:p w:rsidR="002B690D" w:rsidRPr="003A6514" w:rsidRDefault="00414178" w:rsidP="00642E45">
      <w:pPr>
        <w:pStyle w:val="a9"/>
        <w:numPr>
          <w:ilvl w:val="0"/>
          <w:numId w:val="13"/>
        </w:numPr>
        <w:spacing w:before="120" w:after="120" w:line="240" w:lineRule="auto"/>
        <w:contextualSpacing w:val="0"/>
        <w:jc w:val="both"/>
        <w:rPr>
          <w:rFonts w:ascii="Verdana" w:hAnsi="Verdana"/>
          <w:sz w:val="24"/>
          <w:szCs w:val="24"/>
          <w:lang w:val="en-US"/>
        </w:rPr>
      </w:pPr>
      <w:r>
        <w:rPr>
          <w:rFonts w:ascii="Verdana" w:hAnsi="Verdana"/>
          <w:sz w:val="24"/>
          <w:szCs w:val="24"/>
          <w:lang w:val="en-GB"/>
        </w:rPr>
        <w:t xml:space="preserve">The region is </w:t>
      </w:r>
      <w:r>
        <w:rPr>
          <w:rFonts w:ascii="Verdana" w:hAnsi="Verdana"/>
          <w:b/>
          <w:bCs/>
          <w:sz w:val="24"/>
          <w:szCs w:val="24"/>
          <w:lang w:val="en-GB"/>
        </w:rPr>
        <w:t>geographically close to emerging market</w:t>
      </w:r>
      <w:r>
        <w:rPr>
          <w:rFonts w:ascii="Verdana" w:hAnsi="Verdana"/>
          <w:b/>
          <w:bCs/>
          <w:sz w:val="24"/>
          <w:szCs w:val="24"/>
          <w:lang w:val="en-GB"/>
        </w:rPr>
        <w:t>s</w:t>
      </w:r>
      <w:r>
        <w:rPr>
          <w:rFonts w:ascii="Verdana" w:hAnsi="Verdana"/>
          <w:sz w:val="24"/>
          <w:szCs w:val="24"/>
          <w:lang w:val="en-GB"/>
        </w:rPr>
        <w:t xml:space="preserve"> such as the Asia-Pacific Region and India. By 2035, these countries are projected to account for more than 40% of the global petrochemical market.</w:t>
      </w:r>
    </w:p>
    <w:p w:rsidR="002B690D" w:rsidRPr="003A6514" w:rsidRDefault="00414178" w:rsidP="00642E45">
      <w:pPr>
        <w:spacing w:before="120" w:after="120" w:line="240" w:lineRule="auto"/>
        <w:jc w:val="both"/>
        <w:rPr>
          <w:rFonts w:ascii="Verdana" w:hAnsi="Verdana"/>
          <w:sz w:val="24"/>
          <w:szCs w:val="24"/>
          <w:lang w:val="en-US"/>
        </w:rPr>
      </w:pPr>
      <w:r>
        <w:rPr>
          <w:rFonts w:ascii="Verdana" w:hAnsi="Verdana"/>
          <w:sz w:val="24"/>
          <w:szCs w:val="24"/>
          <w:lang w:val="en-GB"/>
        </w:rPr>
        <w:t xml:space="preserve">The </w:t>
      </w:r>
      <w:r>
        <w:rPr>
          <w:rFonts w:ascii="Verdana" w:hAnsi="Verdana"/>
          <w:b/>
          <w:bCs/>
          <w:sz w:val="24"/>
          <w:szCs w:val="24"/>
          <w:lang w:val="en-GB"/>
        </w:rPr>
        <w:t>structural transformation</w:t>
      </w:r>
      <w:r>
        <w:rPr>
          <w:rFonts w:ascii="Verdana" w:hAnsi="Verdana"/>
          <w:sz w:val="24"/>
          <w:szCs w:val="24"/>
          <w:lang w:val="en-GB"/>
        </w:rPr>
        <w:t xml:space="preserve"> of the global petrochemical industry presents </w:t>
      </w:r>
      <w:r>
        <w:rPr>
          <w:rFonts w:ascii="Verdana" w:hAnsi="Verdana"/>
          <w:b/>
          <w:bCs/>
          <w:sz w:val="24"/>
          <w:szCs w:val="24"/>
          <w:lang w:val="en-GB"/>
        </w:rPr>
        <w:t xml:space="preserve">long-term advantages for </w:t>
      </w:r>
      <w:r>
        <w:rPr>
          <w:rFonts w:ascii="Verdana" w:hAnsi="Verdana"/>
          <w:b/>
          <w:bCs/>
          <w:sz w:val="24"/>
          <w:szCs w:val="24"/>
          <w:lang w:val="en-GB"/>
        </w:rPr>
        <w:t>Eurasian countries</w:t>
      </w:r>
      <w:r>
        <w:rPr>
          <w:rFonts w:ascii="Verdana" w:hAnsi="Verdana"/>
          <w:sz w:val="24"/>
          <w:szCs w:val="24"/>
          <w:lang w:val="en-GB"/>
        </w:rPr>
        <w:t>. The global economy is undergoing a new energy transition, closely linked to deeper conversion of petrochemical products. A qualitative technological breakthrough demands polymer raw materials (</w:t>
      </w:r>
      <w:r>
        <w:rPr>
          <w:rFonts w:ascii="Verdana" w:hAnsi="Verdana"/>
          <w:i/>
          <w:iCs/>
          <w:sz w:val="24"/>
          <w:szCs w:val="24"/>
          <w:lang w:val="en-GB"/>
        </w:rPr>
        <w:t xml:space="preserve">for example, ethylene is used in producing </w:t>
      </w:r>
      <w:r>
        <w:rPr>
          <w:rFonts w:ascii="Verdana" w:hAnsi="Verdana"/>
          <w:i/>
          <w:iCs/>
          <w:sz w:val="24"/>
          <w:szCs w:val="24"/>
          <w:lang w:val="en-GB"/>
        </w:rPr>
        <w:t>photovoltaic elements for solar power plants</w:t>
      </w:r>
      <w:r>
        <w:rPr>
          <w:rFonts w:ascii="Verdana" w:hAnsi="Verdana"/>
          <w:sz w:val="24"/>
          <w:szCs w:val="24"/>
          <w:lang w:val="en-GB"/>
        </w:rPr>
        <w:t xml:space="preserve">). The global petrochemical market is projected to expand at a compound annual growth rate of </w:t>
      </w:r>
      <w:r>
        <w:rPr>
          <w:rFonts w:ascii="Verdana" w:hAnsi="Verdana"/>
          <w:b/>
          <w:bCs/>
          <w:sz w:val="24"/>
          <w:szCs w:val="24"/>
          <w:lang w:val="en-GB"/>
        </w:rPr>
        <w:t>3 to 6% until 2035</w:t>
      </w:r>
      <w:r>
        <w:rPr>
          <w:rFonts w:ascii="Verdana" w:hAnsi="Verdana"/>
          <w:sz w:val="24"/>
          <w:szCs w:val="24"/>
          <w:lang w:val="en-GB"/>
        </w:rPr>
        <w:t xml:space="preserve">. By 2050, </w:t>
      </w:r>
      <w:r>
        <w:rPr>
          <w:rFonts w:ascii="Verdana" w:hAnsi="Verdana"/>
          <w:sz w:val="24"/>
          <w:szCs w:val="24"/>
          <w:lang w:val="en-GB"/>
        </w:rPr>
        <w:lastRenderedPageBreak/>
        <w:t>50% of incremental global demand for crude oil is expected to come from the evolving petr</w:t>
      </w:r>
      <w:r>
        <w:rPr>
          <w:rFonts w:ascii="Verdana" w:hAnsi="Verdana"/>
          <w:sz w:val="24"/>
          <w:szCs w:val="24"/>
          <w:lang w:val="en-GB"/>
        </w:rPr>
        <w:t>ochemical industry. Consequently, petrochemical regions with substantial resource potential will play an increasingly important role.</w:t>
      </w:r>
    </w:p>
    <w:p w:rsidR="002B690D" w:rsidRDefault="00414178" w:rsidP="00642E45">
      <w:pPr>
        <w:spacing w:before="120" w:after="120" w:line="240" w:lineRule="auto"/>
        <w:jc w:val="both"/>
        <w:rPr>
          <w:rFonts w:ascii="Verdana" w:hAnsi="Verdana"/>
          <w:sz w:val="24"/>
          <w:szCs w:val="24"/>
          <w:lang w:val="en-GB"/>
        </w:rPr>
      </w:pPr>
      <w:r>
        <w:rPr>
          <w:rFonts w:ascii="Verdana" w:hAnsi="Verdana"/>
          <w:sz w:val="24"/>
          <w:szCs w:val="24"/>
          <w:lang w:val="en-GB"/>
        </w:rPr>
        <w:t xml:space="preserve">The Eurasian region has the potential to enhance its position in the </w:t>
      </w:r>
      <w:r>
        <w:rPr>
          <w:rFonts w:ascii="Verdana" w:hAnsi="Verdana"/>
          <w:b/>
          <w:bCs/>
          <w:sz w:val="24"/>
          <w:szCs w:val="24"/>
          <w:lang w:val="en-GB"/>
        </w:rPr>
        <w:t>global division of labour</w:t>
      </w:r>
      <w:r>
        <w:rPr>
          <w:rFonts w:ascii="Verdana" w:hAnsi="Verdana"/>
          <w:sz w:val="24"/>
          <w:szCs w:val="24"/>
          <w:lang w:val="en-GB"/>
        </w:rPr>
        <w:t>.</w:t>
      </w:r>
      <w:r>
        <w:rPr>
          <w:rFonts w:ascii="Verdana" w:hAnsi="Verdana"/>
          <w:b/>
          <w:bCs/>
          <w:sz w:val="24"/>
          <w:szCs w:val="24"/>
          <w:lang w:val="en-GB"/>
        </w:rPr>
        <w:t xml:space="preserve"> </w:t>
      </w:r>
      <w:r w:rsidRPr="00103C74">
        <w:rPr>
          <w:rFonts w:ascii="Verdana" w:hAnsi="Verdana"/>
          <w:sz w:val="24"/>
          <w:szCs w:val="24"/>
          <w:lang w:val="en-GB"/>
        </w:rPr>
        <w:t>Currently,</w:t>
      </w:r>
      <w:r>
        <w:rPr>
          <w:rFonts w:ascii="Verdana" w:hAnsi="Verdana"/>
          <w:b/>
          <w:bCs/>
          <w:sz w:val="24"/>
          <w:szCs w:val="24"/>
          <w:lang w:val="en-GB"/>
        </w:rPr>
        <w:t xml:space="preserve"> </w:t>
      </w:r>
      <w:r>
        <w:rPr>
          <w:rFonts w:ascii="Verdana" w:hAnsi="Verdana"/>
          <w:sz w:val="24"/>
          <w:szCs w:val="24"/>
          <w:lang w:val="en-GB"/>
        </w:rPr>
        <w:t>it accounts for</w:t>
      </w:r>
      <w:r>
        <w:rPr>
          <w:rFonts w:ascii="Verdana" w:hAnsi="Verdana"/>
          <w:sz w:val="24"/>
          <w:szCs w:val="24"/>
          <w:lang w:val="en-GB"/>
        </w:rPr>
        <w:t xml:space="preserve"> merely 2.1% of total global petrochemical output and positions itself as a supplier of primary products (</w:t>
      </w:r>
      <w:r>
        <w:rPr>
          <w:rFonts w:ascii="Verdana" w:hAnsi="Verdana"/>
          <w:i/>
          <w:iCs/>
          <w:sz w:val="24"/>
          <w:szCs w:val="24"/>
          <w:lang w:val="en-GB"/>
        </w:rPr>
        <w:t>particularly oil and gas</w:t>
      </w:r>
      <w:r>
        <w:rPr>
          <w:rFonts w:ascii="Verdana" w:hAnsi="Verdana"/>
          <w:sz w:val="24"/>
          <w:szCs w:val="24"/>
          <w:lang w:val="en-GB"/>
        </w:rPr>
        <w:t>). However, the region has everything in place to transform into the world’s largest polymer production centre. Considering th</w:t>
      </w:r>
      <w:r>
        <w:rPr>
          <w:rFonts w:ascii="Verdana" w:hAnsi="Verdana"/>
          <w:sz w:val="24"/>
          <w:szCs w:val="24"/>
          <w:lang w:val="en-GB"/>
        </w:rPr>
        <w:t>e technological intensity of the petrochemical industry and the substantial multiplier effect it generates, it could be instrumental in breaking away from the “rut” of the past 30 years (overcoming “path dependence”).</w:t>
      </w:r>
    </w:p>
    <w:p w:rsidR="002B690D" w:rsidRPr="003A6514" w:rsidRDefault="00414178" w:rsidP="00642E45">
      <w:pPr>
        <w:spacing w:before="120" w:after="120" w:line="240" w:lineRule="auto"/>
        <w:jc w:val="both"/>
        <w:rPr>
          <w:rFonts w:ascii="Verdana" w:hAnsi="Verdana"/>
          <w:sz w:val="24"/>
          <w:szCs w:val="24"/>
          <w:lang w:val="en-US"/>
        </w:rPr>
      </w:pPr>
      <w:r>
        <w:rPr>
          <w:rFonts w:ascii="Verdana" w:hAnsi="Verdana"/>
          <w:sz w:val="24"/>
          <w:szCs w:val="24"/>
          <w:lang w:val="en-GB"/>
        </w:rPr>
        <w:t xml:space="preserve">EDB analysts have outlined </w:t>
      </w:r>
      <w:r>
        <w:rPr>
          <w:rFonts w:ascii="Verdana" w:hAnsi="Verdana"/>
          <w:b/>
          <w:bCs/>
          <w:sz w:val="24"/>
          <w:szCs w:val="24"/>
          <w:lang w:val="en-GB"/>
        </w:rPr>
        <w:t>five blocks</w:t>
      </w:r>
      <w:r>
        <w:rPr>
          <w:rFonts w:ascii="Verdana" w:hAnsi="Verdana"/>
          <w:b/>
          <w:bCs/>
          <w:sz w:val="24"/>
          <w:szCs w:val="24"/>
          <w:lang w:val="en-GB"/>
        </w:rPr>
        <w:t xml:space="preserve"> of priority measures</w:t>
      </w:r>
      <w:r>
        <w:rPr>
          <w:rFonts w:ascii="Verdana" w:hAnsi="Verdana"/>
          <w:sz w:val="24"/>
          <w:szCs w:val="24"/>
          <w:lang w:val="en-GB"/>
        </w:rPr>
        <w:t xml:space="preserve"> aimed at unlocking the existing production and export potential of the Eurasian region:</w:t>
      </w:r>
    </w:p>
    <w:p w:rsidR="002B690D" w:rsidRDefault="00414178" w:rsidP="00642E45">
      <w:pPr>
        <w:spacing w:before="120" w:after="120" w:line="240" w:lineRule="auto"/>
        <w:jc w:val="both"/>
        <w:rPr>
          <w:rFonts w:ascii="Verdana" w:hAnsi="Verdana"/>
          <w:sz w:val="24"/>
          <w:szCs w:val="24"/>
          <w:lang w:val="en-GB"/>
        </w:rPr>
      </w:pPr>
      <w:r>
        <w:rPr>
          <w:rFonts w:ascii="Verdana" w:hAnsi="Verdana"/>
          <w:sz w:val="24"/>
          <w:szCs w:val="24"/>
          <w:lang w:val="en-GB"/>
        </w:rPr>
        <w:t>1.</w:t>
      </w:r>
      <w:r>
        <w:rPr>
          <w:rFonts w:ascii="Verdana" w:hAnsi="Verdana"/>
          <w:sz w:val="24"/>
          <w:szCs w:val="24"/>
          <w:lang w:val="en-GB"/>
        </w:rPr>
        <w:tab/>
        <w:t xml:space="preserve">Creation and accelerated development of modern </w:t>
      </w:r>
      <w:r>
        <w:rPr>
          <w:rFonts w:ascii="Verdana" w:hAnsi="Verdana"/>
          <w:b/>
          <w:bCs/>
          <w:sz w:val="24"/>
          <w:szCs w:val="24"/>
          <w:lang w:val="en-GB"/>
        </w:rPr>
        <w:t>petrochemical clusters</w:t>
      </w:r>
      <w:r>
        <w:rPr>
          <w:rFonts w:ascii="Verdana" w:hAnsi="Verdana"/>
          <w:sz w:val="24"/>
          <w:szCs w:val="24"/>
          <w:lang w:val="en-GB"/>
        </w:rPr>
        <w:t xml:space="preserve"> in natural centres of attraction within the Eurasian region, situated clo</w:t>
      </w:r>
      <w:r>
        <w:rPr>
          <w:rFonts w:ascii="Verdana" w:hAnsi="Verdana"/>
          <w:sz w:val="24"/>
          <w:szCs w:val="24"/>
          <w:lang w:val="en-GB"/>
        </w:rPr>
        <w:t>se to major sources of hydrocarbon materials (oil and gas). A cluster is defined as the full value chain, from developing proprietary production technologies and manufacturing required equipment to production of ready-to-use end products. Global clustering</w:t>
      </w:r>
      <w:r>
        <w:rPr>
          <w:rFonts w:ascii="Verdana" w:hAnsi="Verdana"/>
          <w:sz w:val="24"/>
          <w:szCs w:val="24"/>
          <w:lang w:val="en-GB"/>
        </w:rPr>
        <w:t xml:space="preserve"> success stories include petrochemical clusters at Jurong Lake (Singapore), in the cities of Al Jubail and Yanbu (Saudi Arabia) and at the Texas Petrochemical Cluster (USA).</w:t>
      </w:r>
    </w:p>
    <w:p w:rsidR="002B690D" w:rsidRPr="003A6514" w:rsidRDefault="00414178" w:rsidP="00642E45">
      <w:pPr>
        <w:spacing w:before="120" w:after="120" w:line="240" w:lineRule="auto"/>
        <w:jc w:val="both"/>
        <w:rPr>
          <w:rFonts w:ascii="Verdana" w:hAnsi="Verdana"/>
          <w:sz w:val="24"/>
          <w:szCs w:val="24"/>
          <w:lang w:val="en-US"/>
        </w:rPr>
      </w:pPr>
      <w:r>
        <w:rPr>
          <w:rFonts w:ascii="Verdana" w:hAnsi="Verdana"/>
          <w:sz w:val="24"/>
          <w:szCs w:val="24"/>
          <w:lang w:val="en-GB"/>
        </w:rPr>
        <w:t>2.</w:t>
      </w:r>
      <w:r>
        <w:rPr>
          <w:rFonts w:ascii="Verdana" w:hAnsi="Verdana"/>
          <w:sz w:val="24"/>
          <w:szCs w:val="24"/>
          <w:lang w:val="en-GB"/>
        </w:rPr>
        <w:tab/>
        <w:t xml:space="preserve">Focus on </w:t>
      </w:r>
      <w:r>
        <w:rPr>
          <w:rFonts w:ascii="Verdana" w:hAnsi="Verdana"/>
          <w:b/>
          <w:bCs/>
          <w:sz w:val="24"/>
          <w:szCs w:val="24"/>
          <w:lang w:val="en-GB"/>
        </w:rPr>
        <w:t>innovative and low-tonnage petrochemical production</w:t>
      </w:r>
      <w:r>
        <w:rPr>
          <w:rFonts w:ascii="Verdana" w:hAnsi="Verdana"/>
          <w:sz w:val="24"/>
          <w:szCs w:val="24"/>
          <w:lang w:val="en-GB"/>
        </w:rPr>
        <w:t>. The segment faces</w:t>
      </w:r>
      <w:r>
        <w:rPr>
          <w:rFonts w:ascii="Verdana" w:hAnsi="Verdana"/>
          <w:sz w:val="24"/>
          <w:szCs w:val="24"/>
          <w:lang w:val="en-GB"/>
        </w:rPr>
        <w:t xml:space="preserve"> very tough import substitution challenges. Accordingly, there is significant market potential for expanding domestic production. It also concentrates the bulk of added value in the process chain. Consequently, the share of low-tonnage facilities in total </w:t>
      </w:r>
      <w:r>
        <w:rPr>
          <w:rFonts w:ascii="Verdana" w:hAnsi="Verdana"/>
          <w:sz w:val="24"/>
          <w:szCs w:val="24"/>
          <w:lang w:val="en-GB"/>
        </w:rPr>
        <w:t>chemical production is 40% in developed countries, but only 15% in developing countries. The segment accounts for 70% of the total end-product value in the petrochemical industry. Low-tonnage petrochemistry serves as the cornerstone of knowledge-intensive,</w:t>
      </w:r>
      <w:r>
        <w:rPr>
          <w:rFonts w:ascii="Verdana" w:hAnsi="Verdana"/>
          <w:sz w:val="24"/>
          <w:szCs w:val="24"/>
          <w:lang w:val="en-GB"/>
        </w:rPr>
        <w:t xml:space="preserve"> waste-free production, potentially becoming one of the pillars of the transition to a new technological paradigm. Importantly, the cost of potential projects is much lower than capital-intensive, large-scale projects. As part of the cluster approach, low-</w:t>
      </w:r>
      <w:r>
        <w:rPr>
          <w:rFonts w:ascii="Verdana" w:hAnsi="Verdana"/>
          <w:sz w:val="24"/>
          <w:szCs w:val="24"/>
          <w:lang w:val="en-GB"/>
        </w:rPr>
        <w:t xml:space="preserve">tonnage chemical production projects hold feasibility and promise in conjunction with large-tonnage chemical production. </w:t>
      </w:r>
    </w:p>
    <w:p w:rsidR="002B690D" w:rsidRDefault="00414178" w:rsidP="00642E45">
      <w:pPr>
        <w:spacing w:before="120" w:after="120" w:line="240" w:lineRule="auto"/>
        <w:jc w:val="both"/>
        <w:rPr>
          <w:rFonts w:ascii="Verdana" w:hAnsi="Verdana"/>
          <w:sz w:val="24"/>
          <w:szCs w:val="24"/>
          <w:lang w:val="en-GB"/>
        </w:rPr>
      </w:pPr>
      <w:r>
        <w:rPr>
          <w:rFonts w:ascii="Verdana" w:hAnsi="Verdana"/>
          <w:sz w:val="24"/>
          <w:szCs w:val="24"/>
          <w:lang w:val="en-GB"/>
        </w:rPr>
        <w:t>3.</w:t>
      </w:r>
      <w:r>
        <w:rPr>
          <w:rFonts w:ascii="Verdana" w:hAnsi="Verdana"/>
          <w:sz w:val="24"/>
          <w:szCs w:val="24"/>
          <w:lang w:val="en-GB"/>
        </w:rPr>
        <w:tab/>
        <w:t xml:space="preserve">Implementation of </w:t>
      </w:r>
      <w:r>
        <w:rPr>
          <w:rFonts w:ascii="Verdana" w:hAnsi="Verdana"/>
          <w:b/>
          <w:bCs/>
          <w:sz w:val="24"/>
          <w:szCs w:val="24"/>
          <w:lang w:val="en-GB"/>
        </w:rPr>
        <w:t>сircular economy</w:t>
      </w:r>
      <w:r>
        <w:rPr>
          <w:rFonts w:ascii="Verdana" w:hAnsi="Verdana"/>
          <w:sz w:val="24"/>
          <w:szCs w:val="24"/>
          <w:lang w:val="en-GB"/>
        </w:rPr>
        <w:t xml:space="preserve"> mechanisms. This entails supporting the recycling of by-products from oil and gas extraction (es</w:t>
      </w:r>
      <w:r>
        <w:rPr>
          <w:rFonts w:ascii="Verdana" w:hAnsi="Verdana"/>
          <w:sz w:val="24"/>
          <w:szCs w:val="24"/>
          <w:lang w:val="en-GB"/>
        </w:rPr>
        <w:t xml:space="preserve">pecially plastics); utilising polymer waste in chemical recycling processes; minimising the release of plastic particles into the environment; and procuring and deploying the best available petrochemical technologies that minimise emissions and streamline </w:t>
      </w:r>
      <w:r>
        <w:rPr>
          <w:rFonts w:ascii="Verdana" w:hAnsi="Verdana"/>
          <w:sz w:val="24"/>
          <w:szCs w:val="24"/>
          <w:lang w:val="en-GB"/>
        </w:rPr>
        <w:t>the use of natural resources.</w:t>
      </w:r>
    </w:p>
    <w:p w:rsidR="002B690D" w:rsidRDefault="00414178" w:rsidP="00642E45">
      <w:pPr>
        <w:spacing w:before="120" w:after="120" w:line="240" w:lineRule="auto"/>
        <w:jc w:val="both"/>
        <w:rPr>
          <w:rFonts w:ascii="Verdana" w:hAnsi="Verdana"/>
          <w:sz w:val="24"/>
          <w:szCs w:val="24"/>
          <w:lang w:val="en-GB"/>
        </w:rPr>
      </w:pPr>
      <w:r>
        <w:rPr>
          <w:rFonts w:ascii="Verdana" w:hAnsi="Verdana"/>
          <w:sz w:val="24"/>
          <w:szCs w:val="24"/>
          <w:lang w:val="en-GB"/>
        </w:rPr>
        <w:t>4.</w:t>
      </w:r>
      <w:r>
        <w:rPr>
          <w:rFonts w:ascii="Verdana" w:hAnsi="Verdana"/>
          <w:sz w:val="24"/>
          <w:szCs w:val="24"/>
          <w:lang w:val="en-GB"/>
        </w:rPr>
        <w:tab/>
        <w:t xml:space="preserve">Devising </w:t>
      </w:r>
      <w:r>
        <w:rPr>
          <w:rFonts w:ascii="Verdana" w:hAnsi="Verdana"/>
          <w:b/>
          <w:bCs/>
          <w:sz w:val="24"/>
          <w:szCs w:val="24"/>
          <w:lang w:val="en-GB"/>
        </w:rPr>
        <w:t xml:space="preserve">transport and logistical </w:t>
      </w:r>
      <w:r>
        <w:rPr>
          <w:rFonts w:ascii="Verdana" w:hAnsi="Verdana"/>
          <w:sz w:val="24"/>
          <w:szCs w:val="24"/>
          <w:lang w:val="en-GB"/>
        </w:rPr>
        <w:t xml:space="preserve">solutions to enable the efficient delivery of polymer products to </w:t>
      </w:r>
      <w:r>
        <w:rPr>
          <w:rFonts w:ascii="Verdana" w:hAnsi="Verdana"/>
          <w:b/>
          <w:bCs/>
          <w:sz w:val="24"/>
          <w:szCs w:val="24"/>
          <w:lang w:val="en-GB"/>
        </w:rPr>
        <w:t>emerging markets</w:t>
      </w:r>
      <w:r>
        <w:rPr>
          <w:rFonts w:ascii="Verdana" w:hAnsi="Verdana"/>
          <w:sz w:val="24"/>
          <w:szCs w:val="24"/>
          <w:lang w:val="en-GB"/>
        </w:rPr>
        <w:t xml:space="preserve"> – the Asia-Pacific Region and India. Eurasian countries have the potential to substantially increase both domestic and export freight traffic of polymer products using the Eurasian transport corridors. In the new geopolitical landscape, the new transport </w:t>
      </w:r>
      <w:r>
        <w:rPr>
          <w:rFonts w:ascii="Verdana" w:hAnsi="Verdana"/>
          <w:sz w:val="24"/>
          <w:szCs w:val="24"/>
          <w:lang w:val="en-GB"/>
        </w:rPr>
        <w:t xml:space="preserve">channel – the International North–South Transport Corridor (INSTC) – holds particular </w:t>
      </w:r>
      <w:r>
        <w:rPr>
          <w:rFonts w:ascii="Verdana" w:hAnsi="Verdana"/>
          <w:sz w:val="24"/>
          <w:szCs w:val="24"/>
          <w:lang w:val="en-GB"/>
        </w:rPr>
        <w:lastRenderedPageBreak/>
        <w:t>significance. Its development will unlock new avenues for business cooperation with India, Iran, Pakistan and the countries of the Middle East.</w:t>
      </w:r>
    </w:p>
    <w:p w:rsidR="002B690D" w:rsidRDefault="00414178" w:rsidP="00642E45">
      <w:pPr>
        <w:spacing w:before="120" w:after="120" w:line="240" w:lineRule="auto"/>
        <w:jc w:val="both"/>
        <w:rPr>
          <w:rFonts w:ascii="Verdana" w:hAnsi="Verdana"/>
          <w:sz w:val="24"/>
          <w:szCs w:val="24"/>
          <w:lang w:val="en-GB"/>
        </w:rPr>
      </w:pPr>
      <w:r>
        <w:rPr>
          <w:rFonts w:ascii="Verdana" w:hAnsi="Verdana"/>
          <w:sz w:val="24"/>
          <w:szCs w:val="24"/>
          <w:lang w:val="en-GB"/>
        </w:rPr>
        <w:t>5.</w:t>
      </w:r>
      <w:r>
        <w:rPr>
          <w:rFonts w:ascii="Verdana" w:hAnsi="Verdana"/>
          <w:sz w:val="24"/>
          <w:szCs w:val="24"/>
          <w:lang w:val="en-GB"/>
        </w:rPr>
        <w:tab/>
        <w:t>Using the international</w:t>
      </w:r>
      <w:r>
        <w:rPr>
          <w:rFonts w:ascii="Verdana" w:hAnsi="Verdana"/>
          <w:sz w:val="24"/>
          <w:szCs w:val="24"/>
          <w:lang w:val="en-GB"/>
        </w:rPr>
        <w:t xml:space="preserve"> status of </w:t>
      </w:r>
      <w:r>
        <w:rPr>
          <w:rFonts w:ascii="Verdana" w:hAnsi="Verdana"/>
          <w:b/>
          <w:bCs/>
          <w:sz w:val="24"/>
          <w:szCs w:val="24"/>
          <w:lang w:val="en-GB"/>
        </w:rPr>
        <w:t>multilateral development banks (MDBs)</w:t>
      </w:r>
      <w:r>
        <w:rPr>
          <w:rFonts w:ascii="Verdana" w:hAnsi="Verdana"/>
          <w:sz w:val="24"/>
          <w:szCs w:val="24"/>
          <w:lang w:val="en-GB"/>
        </w:rPr>
        <w:t xml:space="preserve"> to attract investment to the industry. To execute the outlined steps, it will be necessary to secure long-term investments from a consortium of oil, gas and petrochemical companies, as well as states and var</w:t>
      </w:r>
      <w:r>
        <w:rPr>
          <w:rFonts w:ascii="Verdana" w:hAnsi="Verdana"/>
          <w:sz w:val="24"/>
          <w:szCs w:val="24"/>
          <w:lang w:val="en-GB"/>
        </w:rPr>
        <w:t>ious financial institutions. Over the past decade, MDBs have invested approximately US $7.5 billion in the petrochemical industry. These financial institutions offer the same financial instruments as bilateral development banks in developing countries. How</w:t>
      </w:r>
      <w:r>
        <w:rPr>
          <w:rFonts w:ascii="Verdana" w:hAnsi="Verdana"/>
          <w:sz w:val="24"/>
          <w:szCs w:val="24"/>
          <w:lang w:val="en-GB"/>
        </w:rPr>
        <w:t>ever, the MDBs are less prone to the influence of national political or industrial stakeholders. Additionally, MDBs can offer umbrella programmes for international investment partners, leverage their access to international financial markets and facilitate</w:t>
      </w:r>
      <w:r>
        <w:rPr>
          <w:rFonts w:ascii="Verdana" w:hAnsi="Verdana"/>
          <w:sz w:val="24"/>
          <w:szCs w:val="24"/>
          <w:lang w:val="en-GB"/>
        </w:rPr>
        <w:t xml:space="preserve"> the development of the petrochemical industry by employing a broad range of financial instruments (</w:t>
      </w:r>
      <w:r>
        <w:rPr>
          <w:rFonts w:ascii="Verdana" w:hAnsi="Verdana"/>
          <w:i/>
          <w:iCs/>
          <w:sz w:val="24"/>
          <w:szCs w:val="24"/>
          <w:lang w:val="en-GB"/>
        </w:rPr>
        <w:t>including trade finance support, funded participation and soft export loans</w:t>
      </w:r>
      <w:r>
        <w:rPr>
          <w:rFonts w:ascii="Verdana" w:hAnsi="Verdana"/>
          <w:sz w:val="24"/>
          <w:szCs w:val="24"/>
          <w:lang w:val="en-GB"/>
        </w:rPr>
        <w:t>).</w:t>
      </w:r>
    </w:p>
    <w:p w:rsidR="002B690D" w:rsidRDefault="00414178" w:rsidP="00642E45">
      <w:pPr>
        <w:spacing w:before="120" w:after="120" w:line="240" w:lineRule="auto"/>
        <w:jc w:val="both"/>
        <w:rPr>
          <w:rFonts w:ascii="Verdana" w:hAnsi="Verdana" w:cs="Arial"/>
          <w:sz w:val="24"/>
          <w:szCs w:val="24"/>
          <w:lang w:val="en-GB"/>
        </w:rPr>
      </w:pPr>
      <w:r>
        <w:rPr>
          <w:rFonts w:ascii="Verdana" w:hAnsi="Verdana" w:cs="Arial"/>
          <w:sz w:val="24"/>
          <w:szCs w:val="24"/>
          <w:lang w:val="en-GB"/>
        </w:rPr>
        <w:t xml:space="preserve">The full text of </w:t>
      </w:r>
      <w:r>
        <w:rPr>
          <w:rFonts w:ascii="Verdana" w:hAnsi="Verdana" w:cs="Arial"/>
          <w:i/>
          <w:iCs/>
          <w:sz w:val="24"/>
          <w:szCs w:val="24"/>
          <w:lang w:val="en-GB"/>
        </w:rPr>
        <w:t>Eurasian Petrochemical Industry: Opportunities for Deeper Pro</w:t>
      </w:r>
      <w:r>
        <w:rPr>
          <w:rFonts w:ascii="Verdana" w:hAnsi="Verdana" w:cs="Arial"/>
          <w:i/>
          <w:iCs/>
          <w:sz w:val="24"/>
          <w:szCs w:val="24"/>
          <w:lang w:val="en-GB"/>
        </w:rPr>
        <w:t>cessing</w:t>
      </w:r>
      <w:r>
        <w:rPr>
          <w:rFonts w:ascii="Verdana" w:hAnsi="Verdana" w:cs="Arial"/>
          <w:sz w:val="24"/>
          <w:szCs w:val="24"/>
          <w:lang w:val="en-GB"/>
        </w:rPr>
        <w:t xml:space="preserve"> is available on the Bank’s </w:t>
      </w:r>
      <w:hyperlink r:id="rId12" w:history="1">
        <w:r>
          <w:rPr>
            <w:rStyle w:val="a4"/>
            <w:rFonts w:ascii="Verdana" w:hAnsi="Verdana" w:cs="Arial"/>
            <w:sz w:val="24"/>
            <w:szCs w:val="24"/>
            <w:lang w:val="en-GB"/>
          </w:rPr>
          <w:t>website</w:t>
        </w:r>
      </w:hyperlink>
      <w:r>
        <w:rPr>
          <w:rFonts w:ascii="Verdana" w:hAnsi="Verdana" w:cs="Arial"/>
          <w:sz w:val="24"/>
          <w:szCs w:val="24"/>
          <w:lang w:val="en-GB"/>
        </w:rPr>
        <w:t>.</w:t>
      </w:r>
    </w:p>
    <w:p w:rsidR="00F55773" w:rsidRPr="003A6514" w:rsidRDefault="00F55773" w:rsidP="00642E45">
      <w:pPr>
        <w:spacing w:before="120" w:after="120" w:line="240" w:lineRule="auto"/>
        <w:jc w:val="both"/>
        <w:rPr>
          <w:rFonts w:ascii="Verdana" w:hAnsi="Verdana" w:cs="Arial"/>
          <w:sz w:val="24"/>
          <w:szCs w:val="24"/>
          <w:lang w:val="en-US"/>
        </w:rPr>
      </w:pPr>
    </w:p>
    <w:p w:rsidR="00F55773" w:rsidRPr="00F55773" w:rsidRDefault="00F55773" w:rsidP="00F55773">
      <w:pPr>
        <w:pStyle w:val="a3"/>
        <w:shd w:val="clear" w:color="auto" w:fill="FFFFFF"/>
        <w:spacing w:before="0" w:beforeAutospacing="0" w:after="120" w:afterAutospacing="0"/>
        <w:jc w:val="both"/>
        <w:textAlignment w:val="baseline"/>
        <w:rPr>
          <w:rFonts w:ascii="Verdana" w:hAnsi="Verdana" w:cs="Arial"/>
          <w:b/>
          <w:color w:val="000000"/>
          <w:spacing w:val="-2"/>
          <w:lang w:val="en-US"/>
        </w:rPr>
      </w:pPr>
      <w:bookmarkStart w:id="0" w:name="_GoBack"/>
      <w:r w:rsidRPr="00F55773">
        <w:rPr>
          <w:rFonts w:ascii="Verdana" w:hAnsi="Verdana" w:cs="Arial"/>
          <w:b/>
          <w:bCs/>
          <w:i/>
          <w:iCs/>
          <w:color w:val="000000"/>
          <w:bdr w:val="none" w:sz="0" w:space="0" w:color="auto" w:frame="1"/>
          <w:lang w:val="en-GB"/>
        </w:rPr>
        <w:t>Additional Information:</w:t>
      </w:r>
    </w:p>
    <w:p w:rsidR="00F55773" w:rsidRPr="00F55773" w:rsidRDefault="00F55773" w:rsidP="00F55773">
      <w:pPr>
        <w:pStyle w:val="a3"/>
        <w:shd w:val="clear" w:color="auto" w:fill="FFFFFF"/>
        <w:spacing w:before="0" w:beforeAutospacing="0" w:after="120" w:afterAutospacing="0"/>
        <w:jc w:val="both"/>
        <w:textAlignment w:val="baseline"/>
        <w:rPr>
          <w:rFonts w:ascii="Verdana" w:hAnsi="Verdana" w:cs="Arial"/>
          <w:color w:val="000000"/>
          <w:spacing w:val="-2"/>
          <w:lang w:val="en-US"/>
        </w:rPr>
      </w:pPr>
      <w:r w:rsidRPr="00F55773">
        <w:rPr>
          <w:rFonts w:ascii="Verdana" w:hAnsi="Verdana" w:cs="Arial"/>
          <w:i/>
          <w:iCs/>
          <w:color w:val="000000"/>
          <w:bdr w:val="none" w:sz="0" w:space="0" w:color="auto" w:frame="1"/>
          <w:lang w:val="en-GB"/>
        </w:rPr>
        <w:t xml:space="preserve">The </w:t>
      </w:r>
      <w:r w:rsidRPr="00F55773">
        <w:rPr>
          <w:rFonts w:ascii="Verdana" w:hAnsi="Verdana" w:cs="Arial"/>
          <w:b/>
          <w:bCs/>
          <w:i/>
          <w:iCs/>
          <w:color w:val="000000"/>
          <w:bdr w:val="none" w:sz="0" w:space="0" w:color="auto" w:frame="1"/>
          <w:lang w:val="en-GB"/>
        </w:rPr>
        <w:t>Eurasian Development Bank (EDB)</w:t>
      </w:r>
      <w:r w:rsidRPr="00F55773">
        <w:rPr>
          <w:rFonts w:ascii="Verdana" w:hAnsi="Verdana" w:cs="Arial"/>
          <w:i/>
          <w:iCs/>
          <w:color w:val="000000"/>
          <w:bdr w:val="none" w:sz="0" w:space="0" w:color="auto" w:frame="1"/>
          <w:lang w:val="en-GB"/>
        </w:rPr>
        <w:t xml:space="preserve"> is an international financial institution promoting integration and development in its member countries. For more than 18 years, the Bank has worked to strengthen and expand economic ties and foster comprehensive development in its member countries. The EDB's charter capital totals US $7 billion. Its portfolio consists principally of projects with an integration effect in transport infrastructure, digital systems, green energy, agriculture, manufacturing and mechanical engineering. The Bank adheres to the UN Sustainable Development Goals and ESG principles in its operations.</w:t>
      </w:r>
    </w:p>
    <w:p w:rsidR="00F55773" w:rsidRPr="00F55773" w:rsidRDefault="00F55773" w:rsidP="00F55773">
      <w:pPr>
        <w:pStyle w:val="a3"/>
        <w:shd w:val="clear" w:color="auto" w:fill="FFFFFF"/>
        <w:spacing w:before="0" w:beforeAutospacing="0" w:after="120" w:afterAutospacing="0"/>
        <w:jc w:val="both"/>
        <w:textAlignment w:val="baseline"/>
        <w:rPr>
          <w:rFonts w:ascii="Verdana" w:hAnsi="Verdana" w:cs="Arial"/>
          <w:b/>
          <w:color w:val="000000"/>
          <w:spacing w:val="-2"/>
          <w:lang w:val="en-US"/>
        </w:rPr>
      </w:pPr>
      <w:r w:rsidRPr="00F55773">
        <w:rPr>
          <w:rFonts w:ascii="Verdana" w:hAnsi="Verdana" w:cs="Arial"/>
          <w:b/>
          <w:bCs/>
          <w:color w:val="000000"/>
          <w:bdr w:val="none" w:sz="0" w:space="0" w:color="auto" w:frame="1"/>
          <w:lang w:val="en-GB"/>
        </w:rPr>
        <w:t>The EDB Media Centre:</w:t>
      </w:r>
    </w:p>
    <w:p w:rsidR="00F55773" w:rsidRPr="00F55773" w:rsidRDefault="00F55773" w:rsidP="00F55773">
      <w:pPr>
        <w:pStyle w:val="a3"/>
        <w:shd w:val="clear" w:color="auto" w:fill="FFFFFF"/>
        <w:spacing w:before="0" w:beforeAutospacing="0" w:after="120" w:afterAutospacing="0"/>
        <w:jc w:val="both"/>
        <w:textAlignment w:val="baseline"/>
        <w:rPr>
          <w:rFonts w:ascii="Verdana" w:hAnsi="Verdana" w:cs="Arial"/>
          <w:color w:val="000000"/>
          <w:spacing w:val="-2"/>
          <w:lang w:val="en-US"/>
        </w:rPr>
      </w:pPr>
      <w:r w:rsidRPr="00F55773">
        <w:rPr>
          <w:rFonts w:ascii="Verdana" w:hAnsi="Verdana" w:cs="Arial"/>
          <w:i/>
          <w:iCs/>
          <w:color w:val="000000"/>
          <w:bdr w:val="none" w:sz="0" w:space="0" w:color="auto" w:frame="1"/>
          <w:lang w:val="en-GB"/>
        </w:rPr>
        <w:t>+7 (727) 244 40 44, ext. 6147</w:t>
      </w:r>
    </w:p>
    <w:p w:rsidR="00F55773" w:rsidRPr="00F55773" w:rsidRDefault="00F55773" w:rsidP="00F55773">
      <w:pPr>
        <w:pStyle w:val="a3"/>
        <w:shd w:val="clear" w:color="auto" w:fill="FFFFFF"/>
        <w:spacing w:before="0" w:beforeAutospacing="0" w:after="120" w:afterAutospacing="0"/>
        <w:jc w:val="both"/>
        <w:textAlignment w:val="baseline"/>
        <w:rPr>
          <w:rFonts w:ascii="Verdana" w:hAnsi="Verdana" w:cs="Arial"/>
          <w:color w:val="000000"/>
          <w:spacing w:val="-2"/>
          <w:lang w:val="en-US"/>
        </w:rPr>
      </w:pPr>
      <w:r w:rsidRPr="00F55773">
        <w:rPr>
          <w:rFonts w:ascii="Verdana" w:hAnsi="Verdana" w:cs="Arial"/>
          <w:i/>
          <w:iCs/>
          <w:color w:val="000000"/>
          <w:bdr w:val="none" w:sz="0" w:space="0" w:color="auto" w:frame="1"/>
          <w:lang w:val="en-GB"/>
        </w:rPr>
        <w:t>pressa@eabr.org</w:t>
      </w:r>
    </w:p>
    <w:p w:rsidR="00C706FE" w:rsidRPr="00F55773" w:rsidRDefault="00F55773" w:rsidP="00F55773">
      <w:pPr>
        <w:pStyle w:val="a3"/>
        <w:shd w:val="clear" w:color="auto" w:fill="FFFFFF"/>
        <w:spacing w:before="120" w:beforeAutospacing="0" w:after="120" w:afterAutospacing="0"/>
        <w:jc w:val="both"/>
        <w:rPr>
          <w:rStyle w:val="a4"/>
          <w:rFonts w:ascii="Verdana" w:hAnsi="Verdana" w:cs="Arial"/>
          <w:i/>
          <w:iCs/>
          <w:color w:val="003366"/>
          <w:spacing w:val="-2"/>
          <w:bdr w:val="none" w:sz="0" w:space="0" w:color="auto" w:frame="1"/>
          <w:lang w:val="en-US"/>
        </w:rPr>
      </w:pPr>
      <w:hyperlink r:id="rId13" w:history="1">
        <w:r w:rsidRPr="00F55773">
          <w:rPr>
            <w:rStyle w:val="a4"/>
            <w:rFonts w:ascii="Verdana" w:eastAsia="Calibri" w:hAnsi="Verdana" w:cs="Arial"/>
            <w:i/>
            <w:iCs/>
            <w:color w:val="858585"/>
            <w:bdr w:val="none" w:sz="0" w:space="0" w:color="auto" w:frame="1"/>
            <w:lang w:val="en-GB"/>
          </w:rPr>
          <w:t>www.eabr.org</w:t>
        </w:r>
      </w:hyperlink>
      <w:bookmarkEnd w:id="0"/>
    </w:p>
    <w:sectPr w:rsidR="00C706FE" w:rsidRPr="00F55773" w:rsidSect="00C91C8F">
      <w:footerReference w:type="default" r:id="rId14"/>
      <w:pgSz w:w="11906" w:h="16838"/>
      <w:pgMar w:top="993" w:right="991" w:bottom="851"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4178" w:rsidRDefault="00414178">
      <w:pPr>
        <w:spacing w:after="0" w:line="240" w:lineRule="auto"/>
      </w:pPr>
      <w:r>
        <w:separator/>
      </w:r>
    </w:p>
  </w:endnote>
  <w:endnote w:type="continuationSeparator" w:id="0">
    <w:p w:rsidR="00414178" w:rsidRDefault="00414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9601142"/>
      <w:docPartObj>
        <w:docPartGallery w:val="Page Numbers (Bottom of Page)"/>
        <w:docPartUnique/>
      </w:docPartObj>
    </w:sdtPr>
    <w:sdtEndPr/>
    <w:sdtContent>
      <w:p w:rsidR="00D15E93" w:rsidRDefault="00414178">
        <w:pPr>
          <w:pStyle w:val="a7"/>
          <w:jc w:val="center"/>
        </w:pPr>
        <w:r>
          <w:fldChar w:fldCharType="begin"/>
        </w:r>
        <w:r w:rsidR="0052679D">
          <w:instrText>PAGE   \* MERGEFORMAT</w:instrText>
        </w:r>
        <w:r>
          <w:fldChar w:fldCharType="separate"/>
        </w:r>
        <w:r w:rsidR="00F55773">
          <w:rPr>
            <w:noProof/>
          </w:rPr>
          <w:t>4</w:t>
        </w:r>
        <w:r>
          <w:fldChar w:fldCharType="end"/>
        </w:r>
      </w:p>
    </w:sdtContent>
  </w:sdt>
  <w:p w:rsidR="004D6C64" w:rsidRDefault="004D6C64">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4178" w:rsidRDefault="00414178">
      <w:pPr>
        <w:spacing w:after="0" w:line="240" w:lineRule="auto"/>
      </w:pPr>
      <w:r>
        <w:separator/>
      </w:r>
    </w:p>
  </w:footnote>
  <w:footnote w:type="continuationSeparator" w:id="0">
    <w:p w:rsidR="00414178" w:rsidRDefault="004141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D39D1"/>
    <w:multiLevelType w:val="hybridMultilevel"/>
    <w:tmpl w:val="6C0A24A6"/>
    <w:lvl w:ilvl="0" w:tplc="C8BECA68">
      <w:start w:val="1"/>
      <w:numFmt w:val="bullet"/>
      <w:lvlText w:val=""/>
      <w:lvlJc w:val="left"/>
      <w:pPr>
        <w:ind w:left="720" w:hanging="360"/>
      </w:pPr>
      <w:rPr>
        <w:rFonts w:ascii="Symbol" w:hAnsi="Symbol" w:hint="default"/>
      </w:rPr>
    </w:lvl>
    <w:lvl w:ilvl="1" w:tplc="A33CB2B4" w:tentative="1">
      <w:start w:val="1"/>
      <w:numFmt w:val="bullet"/>
      <w:lvlText w:val="o"/>
      <w:lvlJc w:val="left"/>
      <w:pPr>
        <w:ind w:left="1440" w:hanging="360"/>
      </w:pPr>
      <w:rPr>
        <w:rFonts w:ascii="Courier New" w:hAnsi="Courier New" w:cs="Courier New" w:hint="default"/>
      </w:rPr>
    </w:lvl>
    <w:lvl w:ilvl="2" w:tplc="355094B6" w:tentative="1">
      <w:start w:val="1"/>
      <w:numFmt w:val="bullet"/>
      <w:lvlText w:val=""/>
      <w:lvlJc w:val="left"/>
      <w:pPr>
        <w:ind w:left="2160" w:hanging="360"/>
      </w:pPr>
      <w:rPr>
        <w:rFonts w:ascii="Wingdings" w:hAnsi="Wingdings" w:hint="default"/>
      </w:rPr>
    </w:lvl>
    <w:lvl w:ilvl="3" w:tplc="AA4A5A2E" w:tentative="1">
      <w:start w:val="1"/>
      <w:numFmt w:val="bullet"/>
      <w:lvlText w:val=""/>
      <w:lvlJc w:val="left"/>
      <w:pPr>
        <w:ind w:left="2880" w:hanging="360"/>
      </w:pPr>
      <w:rPr>
        <w:rFonts w:ascii="Symbol" w:hAnsi="Symbol" w:hint="default"/>
      </w:rPr>
    </w:lvl>
    <w:lvl w:ilvl="4" w:tplc="164CAB42" w:tentative="1">
      <w:start w:val="1"/>
      <w:numFmt w:val="bullet"/>
      <w:lvlText w:val="o"/>
      <w:lvlJc w:val="left"/>
      <w:pPr>
        <w:ind w:left="3600" w:hanging="360"/>
      </w:pPr>
      <w:rPr>
        <w:rFonts w:ascii="Courier New" w:hAnsi="Courier New" w:cs="Courier New" w:hint="default"/>
      </w:rPr>
    </w:lvl>
    <w:lvl w:ilvl="5" w:tplc="8C66AB90" w:tentative="1">
      <w:start w:val="1"/>
      <w:numFmt w:val="bullet"/>
      <w:lvlText w:val=""/>
      <w:lvlJc w:val="left"/>
      <w:pPr>
        <w:ind w:left="4320" w:hanging="360"/>
      </w:pPr>
      <w:rPr>
        <w:rFonts w:ascii="Wingdings" w:hAnsi="Wingdings" w:hint="default"/>
      </w:rPr>
    </w:lvl>
    <w:lvl w:ilvl="6" w:tplc="57CEE48A" w:tentative="1">
      <w:start w:val="1"/>
      <w:numFmt w:val="bullet"/>
      <w:lvlText w:val=""/>
      <w:lvlJc w:val="left"/>
      <w:pPr>
        <w:ind w:left="5040" w:hanging="360"/>
      </w:pPr>
      <w:rPr>
        <w:rFonts w:ascii="Symbol" w:hAnsi="Symbol" w:hint="default"/>
      </w:rPr>
    </w:lvl>
    <w:lvl w:ilvl="7" w:tplc="176AA146" w:tentative="1">
      <w:start w:val="1"/>
      <w:numFmt w:val="bullet"/>
      <w:lvlText w:val="o"/>
      <w:lvlJc w:val="left"/>
      <w:pPr>
        <w:ind w:left="5760" w:hanging="360"/>
      </w:pPr>
      <w:rPr>
        <w:rFonts w:ascii="Courier New" w:hAnsi="Courier New" w:cs="Courier New" w:hint="default"/>
      </w:rPr>
    </w:lvl>
    <w:lvl w:ilvl="8" w:tplc="6322949C" w:tentative="1">
      <w:start w:val="1"/>
      <w:numFmt w:val="bullet"/>
      <w:lvlText w:val=""/>
      <w:lvlJc w:val="left"/>
      <w:pPr>
        <w:ind w:left="6480" w:hanging="360"/>
      </w:pPr>
      <w:rPr>
        <w:rFonts w:ascii="Wingdings" w:hAnsi="Wingdings" w:hint="default"/>
      </w:rPr>
    </w:lvl>
  </w:abstractNum>
  <w:abstractNum w:abstractNumId="1" w15:restartNumberingAfterBreak="0">
    <w:nsid w:val="0AA7486A"/>
    <w:multiLevelType w:val="hybridMultilevel"/>
    <w:tmpl w:val="F09C2CEE"/>
    <w:lvl w:ilvl="0" w:tplc="5F98E434">
      <w:start w:val="1"/>
      <w:numFmt w:val="decimal"/>
      <w:lvlText w:val="%1."/>
      <w:lvlJc w:val="left"/>
      <w:pPr>
        <w:ind w:left="720" w:hanging="360"/>
      </w:pPr>
    </w:lvl>
    <w:lvl w:ilvl="1" w:tplc="4AF61102" w:tentative="1">
      <w:start w:val="1"/>
      <w:numFmt w:val="lowerLetter"/>
      <w:lvlText w:val="%2."/>
      <w:lvlJc w:val="left"/>
      <w:pPr>
        <w:ind w:left="1440" w:hanging="360"/>
      </w:pPr>
    </w:lvl>
    <w:lvl w:ilvl="2" w:tplc="C9D69172" w:tentative="1">
      <w:start w:val="1"/>
      <w:numFmt w:val="lowerRoman"/>
      <w:lvlText w:val="%3."/>
      <w:lvlJc w:val="right"/>
      <w:pPr>
        <w:ind w:left="2160" w:hanging="180"/>
      </w:pPr>
    </w:lvl>
    <w:lvl w:ilvl="3" w:tplc="3A320CE0" w:tentative="1">
      <w:start w:val="1"/>
      <w:numFmt w:val="decimal"/>
      <w:lvlText w:val="%4."/>
      <w:lvlJc w:val="left"/>
      <w:pPr>
        <w:ind w:left="2880" w:hanging="360"/>
      </w:pPr>
    </w:lvl>
    <w:lvl w:ilvl="4" w:tplc="6CE049C0" w:tentative="1">
      <w:start w:val="1"/>
      <w:numFmt w:val="lowerLetter"/>
      <w:lvlText w:val="%5."/>
      <w:lvlJc w:val="left"/>
      <w:pPr>
        <w:ind w:left="3600" w:hanging="360"/>
      </w:pPr>
    </w:lvl>
    <w:lvl w:ilvl="5" w:tplc="A1EA00CE" w:tentative="1">
      <w:start w:val="1"/>
      <w:numFmt w:val="lowerRoman"/>
      <w:lvlText w:val="%6."/>
      <w:lvlJc w:val="right"/>
      <w:pPr>
        <w:ind w:left="4320" w:hanging="180"/>
      </w:pPr>
    </w:lvl>
    <w:lvl w:ilvl="6" w:tplc="4B6CFAFC" w:tentative="1">
      <w:start w:val="1"/>
      <w:numFmt w:val="decimal"/>
      <w:lvlText w:val="%7."/>
      <w:lvlJc w:val="left"/>
      <w:pPr>
        <w:ind w:left="5040" w:hanging="360"/>
      </w:pPr>
    </w:lvl>
    <w:lvl w:ilvl="7" w:tplc="2780A996" w:tentative="1">
      <w:start w:val="1"/>
      <w:numFmt w:val="lowerLetter"/>
      <w:lvlText w:val="%8."/>
      <w:lvlJc w:val="left"/>
      <w:pPr>
        <w:ind w:left="5760" w:hanging="360"/>
      </w:pPr>
    </w:lvl>
    <w:lvl w:ilvl="8" w:tplc="58D2EE80" w:tentative="1">
      <w:start w:val="1"/>
      <w:numFmt w:val="lowerRoman"/>
      <w:lvlText w:val="%9."/>
      <w:lvlJc w:val="right"/>
      <w:pPr>
        <w:ind w:left="6480" w:hanging="180"/>
      </w:pPr>
    </w:lvl>
  </w:abstractNum>
  <w:abstractNum w:abstractNumId="2" w15:restartNumberingAfterBreak="0">
    <w:nsid w:val="101E7229"/>
    <w:multiLevelType w:val="hybridMultilevel"/>
    <w:tmpl w:val="CD40B640"/>
    <w:lvl w:ilvl="0" w:tplc="BE6A9AB0">
      <w:start w:val="1"/>
      <w:numFmt w:val="decimal"/>
      <w:lvlText w:val="%1."/>
      <w:lvlJc w:val="left"/>
      <w:pPr>
        <w:ind w:left="720" w:hanging="360"/>
      </w:pPr>
    </w:lvl>
    <w:lvl w:ilvl="1" w:tplc="ED5A44B6" w:tentative="1">
      <w:start w:val="1"/>
      <w:numFmt w:val="lowerLetter"/>
      <w:lvlText w:val="%2."/>
      <w:lvlJc w:val="left"/>
      <w:pPr>
        <w:ind w:left="1440" w:hanging="360"/>
      </w:pPr>
    </w:lvl>
    <w:lvl w:ilvl="2" w:tplc="480A31F2" w:tentative="1">
      <w:start w:val="1"/>
      <w:numFmt w:val="lowerRoman"/>
      <w:lvlText w:val="%3."/>
      <w:lvlJc w:val="right"/>
      <w:pPr>
        <w:ind w:left="2160" w:hanging="180"/>
      </w:pPr>
    </w:lvl>
    <w:lvl w:ilvl="3" w:tplc="8CBA37F4" w:tentative="1">
      <w:start w:val="1"/>
      <w:numFmt w:val="decimal"/>
      <w:lvlText w:val="%4."/>
      <w:lvlJc w:val="left"/>
      <w:pPr>
        <w:ind w:left="2880" w:hanging="360"/>
      </w:pPr>
    </w:lvl>
    <w:lvl w:ilvl="4" w:tplc="E638B764" w:tentative="1">
      <w:start w:val="1"/>
      <w:numFmt w:val="lowerLetter"/>
      <w:lvlText w:val="%5."/>
      <w:lvlJc w:val="left"/>
      <w:pPr>
        <w:ind w:left="3600" w:hanging="360"/>
      </w:pPr>
    </w:lvl>
    <w:lvl w:ilvl="5" w:tplc="F83A6084" w:tentative="1">
      <w:start w:val="1"/>
      <w:numFmt w:val="lowerRoman"/>
      <w:lvlText w:val="%6."/>
      <w:lvlJc w:val="right"/>
      <w:pPr>
        <w:ind w:left="4320" w:hanging="180"/>
      </w:pPr>
    </w:lvl>
    <w:lvl w:ilvl="6" w:tplc="171E60CA" w:tentative="1">
      <w:start w:val="1"/>
      <w:numFmt w:val="decimal"/>
      <w:lvlText w:val="%7."/>
      <w:lvlJc w:val="left"/>
      <w:pPr>
        <w:ind w:left="5040" w:hanging="360"/>
      </w:pPr>
    </w:lvl>
    <w:lvl w:ilvl="7" w:tplc="8B7A54EC" w:tentative="1">
      <w:start w:val="1"/>
      <w:numFmt w:val="lowerLetter"/>
      <w:lvlText w:val="%8."/>
      <w:lvlJc w:val="left"/>
      <w:pPr>
        <w:ind w:left="5760" w:hanging="360"/>
      </w:pPr>
    </w:lvl>
    <w:lvl w:ilvl="8" w:tplc="6CA08D70" w:tentative="1">
      <w:start w:val="1"/>
      <w:numFmt w:val="lowerRoman"/>
      <w:lvlText w:val="%9."/>
      <w:lvlJc w:val="right"/>
      <w:pPr>
        <w:ind w:left="6480" w:hanging="180"/>
      </w:pPr>
    </w:lvl>
  </w:abstractNum>
  <w:abstractNum w:abstractNumId="3" w15:restartNumberingAfterBreak="0">
    <w:nsid w:val="13820812"/>
    <w:multiLevelType w:val="hybridMultilevel"/>
    <w:tmpl w:val="96FCB71E"/>
    <w:lvl w:ilvl="0" w:tplc="C7687C9A">
      <w:start w:val="1"/>
      <w:numFmt w:val="decimal"/>
      <w:lvlText w:val="%1."/>
      <w:lvlJc w:val="left"/>
      <w:pPr>
        <w:ind w:left="360" w:hanging="360"/>
      </w:pPr>
    </w:lvl>
    <w:lvl w:ilvl="1" w:tplc="A29E2B4E" w:tentative="1">
      <w:start w:val="1"/>
      <w:numFmt w:val="lowerLetter"/>
      <w:lvlText w:val="%2."/>
      <w:lvlJc w:val="left"/>
      <w:pPr>
        <w:ind w:left="1080" w:hanging="360"/>
      </w:pPr>
    </w:lvl>
    <w:lvl w:ilvl="2" w:tplc="9B800080" w:tentative="1">
      <w:start w:val="1"/>
      <w:numFmt w:val="lowerRoman"/>
      <w:lvlText w:val="%3."/>
      <w:lvlJc w:val="right"/>
      <w:pPr>
        <w:ind w:left="1800" w:hanging="180"/>
      </w:pPr>
    </w:lvl>
    <w:lvl w:ilvl="3" w:tplc="6838B3BA" w:tentative="1">
      <w:start w:val="1"/>
      <w:numFmt w:val="decimal"/>
      <w:lvlText w:val="%4."/>
      <w:lvlJc w:val="left"/>
      <w:pPr>
        <w:ind w:left="2520" w:hanging="360"/>
      </w:pPr>
    </w:lvl>
    <w:lvl w:ilvl="4" w:tplc="5802E0C6" w:tentative="1">
      <w:start w:val="1"/>
      <w:numFmt w:val="lowerLetter"/>
      <w:lvlText w:val="%5."/>
      <w:lvlJc w:val="left"/>
      <w:pPr>
        <w:ind w:left="3240" w:hanging="360"/>
      </w:pPr>
    </w:lvl>
    <w:lvl w:ilvl="5" w:tplc="A2B203C2" w:tentative="1">
      <w:start w:val="1"/>
      <w:numFmt w:val="lowerRoman"/>
      <w:lvlText w:val="%6."/>
      <w:lvlJc w:val="right"/>
      <w:pPr>
        <w:ind w:left="3960" w:hanging="180"/>
      </w:pPr>
    </w:lvl>
    <w:lvl w:ilvl="6" w:tplc="A4B8CB42" w:tentative="1">
      <w:start w:val="1"/>
      <w:numFmt w:val="decimal"/>
      <w:lvlText w:val="%7."/>
      <w:lvlJc w:val="left"/>
      <w:pPr>
        <w:ind w:left="4680" w:hanging="360"/>
      </w:pPr>
    </w:lvl>
    <w:lvl w:ilvl="7" w:tplc="34F6374A" w:tentative="1">
      <w:start w:val="1"/>
      <w:numFmt w:val="lowerLetter"/>
      <w:lvlText w:val="%8."/>
      <w:lvlJc w:val="left"/>
      <w:pPr>
        <w:ind w:left="5400" w:hanging="360"/>
      </w:pPr>
    </w:lvl>
    <w:lvl w:ilvl="8" w:tplc="5AE0ABE2" w:tentative="1">
      <w:start w:val="1"/>
      <w:numFmt w:val="lowerRoman"/>
      <w:lvlText w:val="%9."/>
      <w:lvlJc w:val="right"/>
      <w:pPr>
        <w:ind w:left="6120" w:hanging="180"/>
      </w:pPr>
    </w:lvl>
  </w:abstractNum>
  <w:abstractNum w:abstractNumId="4" w15:restartNumberingAfterBreak="0">
    <w:nsid w:val="53692D1A"/>
    <w:multiLevelType w:val="hybridMultilevel"/>
    <w:tmpl w:val="9152726C"/>
    <w:lvl w:ilvl="0" w:tplc="80C6B8AA">
      <w:start w:val="1"/>
      <w:numFmt w:val="decimal"/>
      <w:lvlText w:val="%1."/>
      <w:lvlJc w:val="left"/>
      <w:pPr>
        <w:ind w:left="360" w:hanging="360"/>
      </w:pPr>
      <w:rPr>
        <w:rFonts w:hint="default"/>
      </w:rPr>
    </w:lvl>
    <w:lvl w:ilvl="1" w:tplc="04B4C942" w:tentative="1">
      <w:start w:val="1"/>
      <w:numFmt w:val="lowerLetter"/>
      <w:lvlText w:val="%2."/>
      <w:lvlJc w:val="left"/>
      <w:pPr>
        <w:ind w:left="1440" w:hanging="360"/>
      </w:pPr>
    </w:lvl>
    <w:lvl w:ilvl="2" w:tplc="7DACB41A" w:tentative="1">
      <w:start w:val="1"/>
      <w:numFmt w:val="lowerRoman"/>
      <w:lvlText w:val="%3."/>
      <w:lvlJc w:val="right"/>
      <w:pPr>
        <w:ind w:left="2160" w:hanging="180"/>
      </w:pPr>
    </w:lvl>
    <w:lvl w:ilvl="3" w:tplc="DC60034C" w:tentative="1">
      <w:start w:val="1"/>
      <w:numFmt w:val="decimal"/>
      <w:lvlText w:val="%4."/>
      <w:lvlJc w:val="left"/>
      <w:pPr>
        <w:ind w:left="2880" w:hanging="360"/>
      </w:pPr>
    </w:lvl>
    <w:lvl w:ilvl="4" w:tplc="FD0670F2" w:tentative="1">
      <w:start w:val="1"/>
      <w:numFmt w:val="lowerLetter"/>
      <w:lvlText w:val="%5."/>
      <w:lvlJc w:val="left"/>
      <w:pPr>
        <w:ind w:left="3600" w:hanging="360"/>
      </w:pPr>
    </w:lvl>
    <w:lvl w:ilvl="5" w:tplc="5D4E0A8C" w:tentative="1">
      <w:start w:val="1"/>
      <w:numFmt w:val="lowerRoman"/>
      <w:lvlText w:val="%6."/>
      <w:lvlJc w:val="right"/>
      <w:pPr>
        <w:ind w:left="4320" w:hanging="180"/>
      </w:pPr>
    </w:lvl>
    <w:lvl w:ilvl="6" w:tplc="18501AC2" w:tentative="1">
      <w:start w:val="1"/>
      <w:numFmt w:val="decimal"/>
      <w:lvlText w:val="%7."/>
      <w:lvlJc w:val="left"/>
      <w:pPr>
        <w:ind w:left="5040" w:hanging="360"/>
      </w:pPr>
    </w:lvl>
    <w:lvl w:ilvl="7" w:tplc="C4AEF028" w:tentative="1">
      <w:start w:val="1"/>
      <w:numFmt w:val="lowerLetter"/>
      <w:lvlText w:val="%8."/>
      <w:lvlJc w:val="left"/>
      <w:pPr>
        <w:ind w:left="5760" w:hanging="360"/>
      </w:pPr>
    </w:lvl>
    <w:lvl w:ilvl="8" w:tplc="C9B227B0" w:tentative="1">
      <w:start w:val="1"/>
      <w:numFmt w:val="lowerRoman"/>
      <w:lvlText w:val="%9."/>
      <w:lvlJc w:val="right"/>
      <w:pPr>
        <w:ind w:left="6480" w:hanging="180"/>
      </w:pPr>
    </w:lvl>
  </w:abstractNum>
  <w:abstractNum w:abstractNumId="5" w15:restartNumberingAfterBreak="0">
    <w:nsid w:val="577201EB"/>
    <w:multiLevelType w:val="hybridMultilevel"/>
    <w:tmpl w:val="A724AEA4"/>
    <w:lvl w:ilvl="0" w:tplc="FF5AA952">
      <w:start w:val="1"/>
      <w:numFmt w:val="bullet"/>
      <w:lvlText w:val=""/>
      <w:lvlJc w:val="left"/>
      <w:pPr>
        <w:ind w:left="720" w:hanging="360"/>
      </w:pPr>
      <w:rPr>
        <w:rFonts w:ascii="Symbol" w:hAnsi="Symbol" w:hint="default"/>
      </w:rPr>
    </w:lvl>
    <w:lvl w:ilvl="1" w:tplc="5BA061DC" w:tentative="1">
      <w:start w:val="1"/>
      <w:numFmt w:val="bullet"/>
      <w:lvlText w:val="o"/>
      <w:lvlJc w:val="left"/>
      <w:pPr>
        <w:ind w:left="1440" w:hanging="360"/>
      </w:pPr>
      <w:rPr>
        <w:rFonts w:ascii="Courier New" w:hAnsi="Courier New" w:cs="Courier New" w:hint="default"/>
      </w:rPr>
    </w:lvl>
    <w:lvl w:ilvl="2" w:tplc="C3C6FE62" w:tentative="1">
      <w:start w:val="1"/>
      <w:numFmt w:val="bullet"/>
      <w:lvlText w:val=""/>
      <w:lvlJc w:val="left"/>
      <w:pPr>
        <w:ind w:left="2160" w:hanging="360"/>
      </w:pPr>
      <w:rPr>
        <w:rFonts w:ascii="Wingdings" w:hAnsi="Wingdings" w:hint="default"/>
      </w:rPr>
    </w:lvl>
    <w:lvl w:ilvl="3" w:tplc="9E768430" w:tentative="1">
      <w:start w:val="1"/>
      <w:numFmt w:val="bullet"/>
      <w:lvlText w:val=""/>
      <w:lvlJc w:val="left"/>
      <w:pPr>
        <w:ind w:left="2880" w:hanging="360"/>
      </w:pPr>
      <w:rPr>
        <w:rFonts w:ascii="Symbol" w:hAnsi="Symbol" w:hint="default"/>
      </w:rPr>
    </w:lvl>
    <w:lvl w:ilvl="4" w:tplc="8FC29B58" w:tentative="1">
      <w:start w:val="1"/>
      <w:numFmt w:val="bullet"/>
      <w:lvlText w:val="o"/>
      <w:lvlJc w:val="left"/>
      <w:pPr>
        <w:ind w:left="3600" w:hanging="360"/>
      </w:pPr>
      <w:rPr>
        <w:rFonts w:ascii="Courier New" w:hAnsi="Courier New" w:cs="Courier New" w:hint="default"/>
      </w:rPr>
    </w:lvl>
    <w:lvl w:ilvl="5" w:tplc="2A82176A" w:tentative="1">
      <w:start w:val="1"/>
      <w:numFmt w:val="bullet"/>
      <w:lvlText w:val=""/>
      <w:lvlJc w:val="left"/>
      <w:pPr>
        <w:ind w:left="4320" w:hanging="360"/>
      </w:pPr>
      <w:rPr>
        <w:rFonts w:ascii="Wingdings" w:hAnsi="Wingdings" w:hint="default"/>
      </w:rPr>
    </w:lvl>
    <w:lvl w:ilvl="6" w:tplc="C16E1B00" w:tentative="1">
      <w:start w:val="1"/>
      <w:numFmt w:val="bullet"/>
      <w:lvlText w:val=""/>
      <w:lvlJc w:val="left"/>
      <w:pPr>
        <w:ind w:left="5040" w:hanging="360"/>
      </w:pPr>
      <w:rPr>
        <w:rFonts w:ascii="Symbol" w:hAnsi="Symbol" w:hint="default"/>
      </w:rPr>
    </w:lvl>
    <w:lvl w:ilvl="7" w:tplc="230A943C" w:tentative="1">
      <w:start w:val="1"/>
      <w:numFmt w:val="bullet"/>
      <w:lvlText w:val="o"/>
      <w:lvlJc w:val="left"/>
      <w:pPr>
        <w:ind w:left="5760" w:hanging="360"/>
      </w:pPr>
      <w:rPr>
        <w:rFonts w:ascii="Courier New" w:hAnsi="Courier New" w:cs="Courier New" w:hint="default"/>
      </w:rPr>
    </w:lvl>
    <w:lvl w:ilvl="8" w:tplc="24CAD9F2" w:tentative="1">
      <w:start w:val="1"/>
      <w:numFmt w:val="bullet"/>
      <w:lvlText w:val=""/>
      <w:lvlJc w:val="left"/>
      <w:pPr>
        <w:ind w:left="6480" w:hanging="360"/>
      </w:pPr>
      <w:rPr>
        <w:rFonts w:ascii="Wingdings" w:hAnsi="Wingdings" w:hint="default"/>
      </w:rPr>
    </w:lvl>
  </w:abstractNum>
  <w:abstractNum w:abstractNumId="6" w15:restartNumberingAfterBreak="0">
    <w:nsid w:val="5A390150"/>
    <w:multiLevelType w:val="hybridMultilevel"/>
    <w:tmpl w:val="2B62C18C"/>
    <w:lvl w:ilvl="0" w:tplc="10D29C88">
      <w:start w:val="10"/>
      <w:numFmt w:val="decimal"/>
      <w:lvlText w:val="%1"/>
      <w:lvlJc w:val="left"/>
      <w:pPr>
        <w:ind w:left="720" w:hanging="360"/>
      </w:pPr>
      <w:rPr>
        <w:rFonts w:hint="default"/>
      </w:rPr>
    </w:lvl>
    <w:lvl w:ilvl="1" w:tplc="8BA4B042" w:tentative="1">
      <w:start w:val="1"/>
      <w:numFmt w:val="lowerLetter"/>
      <w:lvlText w:val="%2."/>
      <w:lvlJc w:val="left"/>
      <w:pPr>
        <w:ind w:left="1440" w:hanging="360"/>
      </w:pPr>
    </w:lvl>
    <w:lvl w:ilvl="2" w:tplc="5A18AC4E" w:tentative="1">
      <w:start w:val="1"/>
      <w:numFmt w:val="lowerRoman"/>
      <w:lvlText w:val="%3."/>
      <w:lvlJc w:val="right"/>
      <w:pPr>
        <w:ind w:left="2160" w:hanging="180"/>
      </w:pPr>
    </w:lvl>
    <w:lvl w:ilvl="3" w:tplc="DE5E7384" w:tentative="1">
      <w:start w:val="1"/>
      <w:numFmt w:val="decimal"/>
      <w:lvlText w:val="%4."/>
      <w:lvlJc w:val="left"/>
      <w:pPr>
        <w:ind w:left="2880" w:hanging="360"/>
      </w:pPr>
    </w:lvl>
    <w:lvl w:ilvl="4" w:tplc="F452A8B4" w:tentative="1">
      <w:start w:val="1"/>
      <w:numFmt w:val="lowerLetter"/>
      <w:lvlText w:val="%5."/>
      <w:lvlJc w:val="left"/>
      <w:pPr>
        <w:ind w:left="3600" w:hanging="360"/>
      </w:pPr>
    </w:lvl>
    <w:lvl w:ilvl="5" w:tplc="9F528E40" w:tentative="1">
      <w:start w:val="1"/>
      <w:numFmt w:val="lowerRoman"/>
      <w:lvlText w:val="%6."/>
      <w:lvlJc w:val="right"/>
      <w:pPr>
        <w:ind w:left="4320" w:hanging="180"/>
      </w:pPr>
    </w:lvl>
    <w:lvl w:ilvl="6" w:tplc="AB72C3E6" w:tentative="1">
      <w:start w:val="1"/>
      <w:numFmt w:val="decimal"/>
      <w:lvlText w:val="%7."/>
      <w:lvlJc w:val="left"/>
      <w:pPr>
        <w:ind w:left="5040" w:hanging="360"/>
      </w:pPr>
    </w:lvl>
    <w:lvl w:ilvl="7" w:tplc="ED8C97E4" w:tentative="1">
      <w:start w:val="1"/>
      <w:numFmt w:val="lowerLetter"/>
      <w:lvlText w:val="%8."/>
      <w:lvlJc w:val="left"/>
      <w:pPr>
        <w:ind w:left="5760" w:hanging="360"/>
      </w:pPr>
    </w:lvl>
    <w:lvl w:ilvl="8" w:tplc="6D8895B6" w:tentative="1">
      <w:start w:val="1"/>
      <w:numFmt w:val="lowerRoman"/>
      <w:lvlText w:val="%9."/>
      <w:lvlJc w:val="right"/>
      <w:pPr>
        <w:ind w:left="6480" w:hanging="180"/>
      </w:pPr>
    </w:lvl>
  </w:abstractNum>
  <w:abstractNum w:abstractNumId="7" w15:restartNumberingAfterBreak="0">
    <w:nsid w:val="5B4B065D"/>
    <w:multiLevelType w:val="hybridMultilevel"/>
    <w:tmpl w:val="311C6540"/>
    <w:lvl w:ilvl="0" w:tplc="5B3EAFE0">
      <w:start w:val="1"/>
      <w:numFmt w:val="bullet"/>
      <w:lvlText w:val=""/>
      <w:lvlJc w:val="left"/>
      <w:pPr>
        <w:ind w:left="720" w:hanging="360"/>
      </w:pPr>
      <w:rPr>
        <w:rFonts w:ascii="Symbol" w:hAnsi="Symbol" w:hint="default"/>
      </w:rPr>
    </w:lvl>
    <w:lvl w:ilvl="1" w:tplc="9C9203C2" w:tentative="1">
      <w:start w:val="1"/>
      <w:numFmt w:val="bullet"/>
      <w:lvlText w:val="o"/>
      <w:lvlJc w:val="left"/>
      <w:pPr>
        <w:ind w:left="1440" w:hanging="360"/>
      </w:pPr>
      <w:rPr>
        <w:rFonts w:ascii="Courier New" w:hAnsi="Courier New" w:cs="Courier New" w:hint="default"/>
      </w:rPr>
    </w:lvl>
    <w:lvl w:ilvl="2" w:tplc="AB6E49D4" w:tentative="1">
      <w:start w:val="1"/>
      <w:numFmt w:val="bullet"/>
      <w:lvlText w:val=""/>
      <w:lvlJc w:val="left"/>
      <w:pPr>
        <w:ind w:left="2160" w:hanging="360"/>
      </w:pPr>
      <w:rPr>
        <w:rFonts w:ascii="Wingdings" w:hAnsi="Wingdings" w:hint="default"/>
      </w:rPr>
    </w:lvl>
    <w:lvl w:ilvl="3" w:tplc="B666F6FC" w:tentative="1">
      <w:start w:val="1"/>
      <w:numFmt w:val="bullet"/>
      <w:lvlText w:val=""/>
      <w:lvlJc w:val="left"/>
      <w:pPr>
        <w:ind w:left="2880" w:hanging="360"/>
      </w:pPr>
      <w:rPr>
        <w:rFonts w:ascii="Symbol" w:hAnsi="Symbol" w:hint="default"/>
      </w:rPr>
    </w:lvl>
    <w:lvl w:ilvl="4" w:tplc="B7AA7468" w:tentative="1">
      <w:start w:val="1"/>
      <w:numFmt w:val="bullet"/>
      <w:lvlText w:val="o"/>
      <w:lvlJc w:val="left"/>
      <w:pPr>
        <w:ind w:left="3600" w:hanging="360"/>
      </w:pPr>
      <w:rPr>
        <w:rFonts w:ascii="Courier New" w:hAnsi="Courier New" w:cs="Courier New" w:hint="default"/>
      </w:rPr>
    </w:lvl>
    <w:lvl w:ilvl="5" w:tplc="4462CECA" w:tentative="1">
      <w:start w:val="1"/>
      <w:numFmt w:val="bullet"/>
      <w:lvlText w:val=""/>
      <w:lvlJc w:val="left"/>
      <w:pPr>
        <w:ind w:left="4320" w:hanging="360"/>
      </w:pPr>
      <w:rPr>
        <w:rFonts w:ascii="Wingdings" w:hAnsi="Wingdings" w:hint="default"/>
      </w:rPr>
    </w:lvl>
    <w:lvl w:ilvl="6" w:tplc="ABE01B82" w:tentative="1">
      <w:start w:val="1"/>
      <w:numFmt w:val="bullet"/>
      <w:lvlText w:val=""/>
      <w:lvlJc w:val="left"/>
      <w:pPr>
        <w:ind w:left="5040" w:hanging="360"/>
      </w:pPr>
      <w:rPr>
        <w:rFonts w:ascii="Symbol" w:hAnsi="Symbol" w:hint="default"/>
      </w:rPr>
    </w:lvl>
    <w:lvl w:ilvl="7" w:tplc="A8E8807C" w:tentative="1">
      <w:start w:val="1"/>
      <w:numFmt w:val="bullet"/>
      <w:lvlText w:val="o"/>
      <w:lvlJc w:val="left"/>
      <w:pPr>
        <w:ind w:left="5760" w:hanging="360"/>
      </w:pPr>
      <w:rPr>
        <w:rFonts w:ascii="Courier New" w:hAnsi="Courier New" w:cs="Courier New" w:hint="default"/>
      </w:rPr>
    </w:lvl>
    <w:lvl w:ilvl="8" w:tplc="77C088DC" w:tentative="1">
      <w:start w:val="1"/>
      <w:numFmt w:val="bullet"/>
      <w:lvlText w:val=""/>
      <w:lvlJc w:val="left"/>
      <w:pPr>
        <w:ind w:left="6480" w:hanging="360"/>
      </w:pPr>
      <w:rPr>
        <w:rFonts w:ascii="Wingdings" w:hAnsi="Wingdings" w:hint="default"/>
      </w:rPr>
    </w:lvl>
  </w:abstractNum>
  <w:abstractNum w:abstractNumId="8" w15:restartNumberingAfterBreak="0">
    <w:nsid w:val="5FD77FC3"/>
    <w:multiLevelType w:val="hybridMultilevel"/>
    <w:tmpl w:val="4266D016"/>
    <w:lvl w:ilvl="0" w:tplc="05EA58F2">
      <w:start w:val="1"/>
      <w:numFmt w:val="bullet"/>
      <w:lvlText w:val=""/>
      <w:lvlJc w:val="left"/>
      <w:pPr>
        <w:ind w:left="801" w:hanging="360"/>
      </w:pPr>
      <w:rPr>
        <w:rFonts w:ascii="Symbol" w:hAnsi="Symbol" w:hint="default"/>
      </w:rPr>
    </w:lvl>
    <w:lvl w:ilvl="1" w:tplc="C8C49D4A" w:tentative="1">
      <w:start w:val="1"/>
      <w:numFmt w:val="bullet"/>
      <w:lvlText w:val="o"/>
      <w:lvlJc w:val="left"/>
      <w:pPr>
        <w:ind w:left="1521" w:hanging="360"/>
      </w:pPr>
      <w:rPr>
        <w:rFonts w:ascii="Courier New" w:hAnsi="Courier New" w:cs="Courier New" w:hint="default"/>
      </w:rPr>
    </w:lvl>
    <w:lvl w:ilvl="2" w:tplc="96888EE4" w:tentative="1">
      <w:start w:val="1"/>
      <w:numFmt w:val="bullet"/>
      <w:lvlText w:val=""/>
      <w:lvlJc w:val="left"/>
      <w:pPr>
        <w:ind w:left="2241" w:hanging="360"/>
      </w:pPr>
      <w:rPr>
        <w:rFonts w:ascii="Wingdings" w:hAnsi="Wingdings" w:hint="default"/>
      </w:rPr>
    </w:lvl>
    <w:lvl w:ilvl="3" w:tplc="5D4244A2" w:tentative="1">
      <w:start w:val="1"/>
      <w:numFmt w:val="bullet"/>
      <w:lvlText w:val=""/>
      <w:lvlJc w:val="left"/>
      <w:pPr>
        <w:ind w:left="2961" w:hanging="360"/>
      </w:pPr>
      <w:rPr>
        <w:rFonts w:ascii="Symbol" w:hAnsi="Symbol" w:hint="default"/>
      </w:rPr>
    </w:lvl>
    <w:lvl w:ilvl="4" w:tplc="67280A44" w:tentative="1">
      <w:start w:val="1"/>
      <w:numFmt w:val="bullet"/>
      <w:lvlText w:val="o"/>
      <w:lvlJc w:val="left"/>
      <w:pPr>
        <w:ind w:left="3681" w:hanging="360"/>
      </w:pPr>
      <w:rPr>
        <w:rFonts w:ascii="Courier New" w:hAnsi="Courier New" w:cs="Courier New" w:hint="default"/>
      </w:rPr>
    </w:lvl>
    <w:lvl w:ilvl="5" w:tplc="263A08DC" w:tentative="1">
      <w:start w:val="1"/>
      <w:numFmt w:val="bullet"/>
      <w:lvlText w:val=""/>
      <w:lvlJc w:val="left"/>
      <w:pPr>
        <w:ind w:left="4401" w:hanging="360"/>
      </w:pPr>
      <w:rPr>
        <w:rFonts w:ascii="Wingdings" w:hAnsi="Wingdings" w:hint="default"/>
      </w:rPr>
    </w:lvl>
    <w:lvl w:ilvl="6" w:tplc="3CE8099C" w:tentative="1">
      <w:start w:val="1"/>
      <w:numFmt w:val="bullet"/>
      <w:lvlText w:val=""/>
      <w:lvlJc w:val="left"/>
      <w:pPr>
        <w:ind w:left="5121" w:hanging="360"/>
      </w:pPr>
      <w:rPr>
        <w:rFonts w:ascii="Symbol" w:hAnsi="Symbol" w:hint="default"/>
      </w:rPr>
    </w:lvl>
    <w:lvl w:ilvl="7" w:tplc="FE0CB404" w:tentative="1">
      <w:start w:val="1"/>
      <w:numFmt w:val="bullet"/>
      <w:lvlText w:val="o"/>
      <w:lvlJc w:val="left"/>
      <w:pPr>
        <w:ind w:left="5841" w:hanging="360"/>
      </w:pPr>
      <w:rPr>
        <w:rFonts w:ascii="Courier New" w:hAnsi="Courier New" w:cs="Courier New" w:hint="default"/>
      </w:rPr>
    </w:lvl>
    <w:lvl w:ilvl="8" w:tplc="B05A1808" w:tentative="1">
      <w:start w:val="1"/>
      <w:numFmt w:val="bullet"/>
      <w:lvlText w:val=""/>
      <w:lvlJc w:val="left"/>
      <w:pPr>
        <w:ind w:left="6561" w:hanging="360"/>
      </w:pPr>
      <w:rPr>
        <w:rFonts w:ascii="Wingdings" w:hAnsi="Wingdings" w:hint="default"/>
      </w:rPr>
    </w:lvl>
  </w:abstractNum>
  <w:abstractNum w:abstractNumId="9" w15:restartNumberingAfterBreak="0">
    <w:nsid w:val="706F1BFC"/>
    <w:multiLevelType w:val="hybridMultilevel"/>
    <w:tmpl w:val="B0FA0E9E"/>
    <w:lvl w:ilvl="0" w:tplc="5314B3C6">
      <w:start w:val="1"/>
      <w:numFmt w:val="decimal"/>
      <w:lvlText w:val="%1."/>
      <w:lvlJc w:val="left"/>
      <w:pPr>
        <w:ind w:left="720" w:hanging="360"/>
      </w:pPr>
    </w:lvl>
    <w:lvl w:ilvl="1" w:tplc="44C25B9C" w:tentative="1">
      <w:start w:val="1"/>
      <w:numFmt w:val="lowerLetter"/>
      <w:lvlText w:val="%2."/>
      <w:lvlJc w:val="left"/>
      <w:pPr>
        <w:ind w:left="1440" w:hanging="360"/>
      </w:pPr>
    </w:lvl>
    <w:lvl w:ilvl="2" w:tplc="E438C0FE" w:tentative="1">
      <w:start w:val="1"/>
      <w:numFmt w:val="lowerRoman"/>
      <w:lvlText w:val="%3."/>
      <w:lvlJc w:val="right"/>
      <w:pPr>
        <w:ind w:left="2160" w:hanging="180"/>
      </w:pPr>
    </w:lvl>
    <w:lvl w:ilvl="3" w:tplc="498611DC" w:tentative="1">
      <w:start w:val="1"/>
      <w:numFmt w:val="decimal"/>
      <w:lvlText w:val="%4."/>
      <w:lvlJc w:val="left"/>
      <w:pPr>
        <w:ind w:left="2880" w:hanging="360"/>
      </w:pPr>
    </w:lvl>
    <w:lvl w:ilvl="4" w:tplc="907686D8" w:tentative="1">
      <w:start w:val="1"/>
      <w:numFmt w:val="lowerLetter"/>
      <w:lvlText w:val="%5."/>
      <w:lvlJc w:val="left"/>
      <w:pPr>
        <w:ind w:left="3600" w:hanging="360"/>
      </w:pPr>
    </w:lvl>
    <w:lvl w:ilvl="5" w:tplc="9FA03D26" w:tentative="1">
      <w:start w:val="1"/>
      <w:numFmt w:val="lowerRoman"/>
      <w:lvlText w:val="%6."/>
      <w:lvlJc w:val="right"/>
      <w:pPr>
        <w:ind w:left="4320" w:hanging="180"/>
      </w:pPr>
    </w:lvl>
    <w:lvl w:ilvl="6" w:tplc="4072C8F0" w:tentative="1">
      <w:start w:val="1"/>
      <w:numFmt w:val="decimal"/>
      <w:lvlText w:val="%7."/>
      <w:lvlJc w:val="left"/>
      <w:pPr>
        <w:ind w:left="5040" w:hanging="360"/>
      </w:pPr>
    </w:lvl>
    <w:lvl w:ilvl="7" w:tplc="38FC9C0E" w:tentative="1">
      <w:start w:val="1"/>
      <w:numFmt w:val="lowerLetter"/>
      <w:lvlText w:val="%8."/>
      <w:lvlJc w:val="left"/>
      <w:pPr>
        <w:ind w:left="5760" w:hanging="360"/>
      </w:pPr>
    </w:lvl>
    <w:lvl w:ilvl="8" w:tplc="48E26B0C" w:tentative="1">
      <w:start w:val="1"/>
      <w:numFmt w:val="lowerRoman"/>
      <w:lvlText w:val="%9."/>
      <w:lvlJc w:val="right"/>
      <w:pPr>
        <w:ind w:left="6480" w:hanging="180"/>
      </w:pPr>
    </w:lvl>
  </w:abstractNum>
  <w:abstractNum w:abstractNumId="10" w15:restartNumberingAfterBreak="0">
    <w:nsid w:val="7629631F"/>
    <w:multiLevelType w:val="hybridMultilevel"/>
    <w:tmpl w:val="CD40B640"/>
    <w:lvl w:ilvl="0" w:tplc="859059C8">
      <w:start w:val="1"/>
      <w:numFmt w:val="decimal"/>
      <w:lvlText w:val="%1."/>
      <w:lvlJc w:val="left"/>
      <w:pPr>
        <w:ind w:left="360" w:hanging="360"/>
      </w:pPr>
    </w:lvl>
    <w:lvl w:ilvl="1" w:tplc="A2A6671A" w:tentative="1">
      <w:start w:val="1"/>
      <w:numFmt w:val="lowerLetter"/>
      <w:lvlText w:val="%2."/>
      <w:lvlJc w:val="left"/>
      <w:pPr>
        <w:ind w:left="1440" w:hanging="360"/>
      </w:pPr>
    </w:lvl>
    <w:lvl w:ilvl="2" w:tplc="E5128814" w:tentative="1">
      <w:start w:val="1"/>
      <w:numFmt w:val="lowerRoman"/>
      <w:lvlText w:val="%3."/>
      <w:lvlJc w:val="right"/>
      <w:pPr>
        <w:ind w:left="2160" w:hanging="180"/>
      </w:pPr>
    </w:lvl>
    <w:lvl w:ilvl="3" w:tplc="E52E9E80" w:tentative="1">
      <w:start w:val="1"/>
      <w:numFmt w:val="decimal"/>
      <w:lvlText w:val="%4."/>
      <w:lvlJc w:val="left"/>
      <w:pPr>
        <w:ind w:left="2880" w:hanging="360"/>
      </w:pPr>
    </w:lvl>
    <w:lvl w:ilvl="4" w:tplc="FCC0F530" w:tentative="1">
      <w:start w:val="1"/>
      <w:numFmt w:val="lowerLetter"/>
      <w:lvlText w:val="%5."/>
      <w:lvlJc w:val="left"/>
      <w:pPr>
        <w:ind w:left="3600" w:hanging="360"/>
      </w:pPr>
    </w:lvl>
    <w:lvl w:ilvl="5" w:tplc="B46E742C" w:tentative="1">
      <w:start w:val="1"/>
      <w:numFmt w:val="lowerRoman"/>
      <w:lvlText w:val="%6."/>
      <w:lvlJc w:val="right"/>
      <w:pPr>
        <w:ind w:left="4320" w:hanging="180"/>
      </w:pPr>
    </w:lvl>
    <w:lvl w:ilvl="6" w:tplc="2610BE9A" w:tentative="1">
      <w:start w:val="1"/>
      <w:numFmt w:val="decimal"/>
      <w:lvlText w:val="%7."/>
      <w:lvlJc w:val="left"/>
      <w:pPr>
        <w:ind w:left="5040" w:hanging="360"/>
      </w:pPr>
    </w:lvl>
    <w:lvl w:ilvl="7" w:tplc="B2B0A7F4" w:tentative="1">
      <w:start w:val="1"/>
      <w:numFmt w:val="lowerLetter"/>
      <w:lvlText w:val="%8."/>
      <w:lvlJc w:val="left"/>
      <w:pPr>
        <w:ind w:left="5760" w:hanging="360"/>
      </w:pPr>
    </w:lvl>
    <w:lvl w:ilvl="8" w:tplc="D05AB776" w:tentative="1">
      <w:start w:val="1"/>
      <w:numFmt w:val="lowerRoman"/>
      <w:lvlText w:val="%9."/>
      <w:lvlJc w:val="right"/>
      <w:pPr>
        <w:ind w:left="6480" w:hanging="180"/>
      </w:pPr>
    </w:lvl>
  </w:abstractNum>
  <w:abstractNum w:abstractNumId="11" w15:restartNumberingAfterBreak="0">
    <w:nsid w:val="7D7B3004"/>
    <w:multiLevelType w:val="hybridMultilevel"/>
    <w:tmpl w:val="72FA4806"/>
    <w:lvl w:ilvl="0" w:tplc="C7DCCADE">
      <w:start w:val="1"/>
      <w:numFmt w:val="bullet"/>
      <w:lvlText w:val=""/>
      <w:lvlJc w:val="left"/>
      <w:pPr>
        <w:ind w:left="720" w:hanging="360"/>
      </w:pPr>
      <w:rPr>
        <w:rFonts w:ascii="Symbol" w:hAnsi="Symbol" w:hint="default"/>
      </w:rPr>
    </w:lvl>
    <w:lvl w:ilvl="1" w:tplc="50B250F2" w:tentative="1">
      <w:start w:val="1"/>
      <w:numFmt w:val="bullet"/>
      <w:lvlText w:val="o"/>
      <w:lvlJc w:val="left"/>
      <w:pPr>
        <w:ind w:left="1440" w:hanging="360"/>
      </w:pPr>
      <w:rPr>
        <w:rFonts w:ascii="Courier New" w:hAnsi="Courier New" w:cs="Courier New" w:hint="default"/>
      </w:rPr>
    </w:lvl>
    <w:lvl w:ilvl="2" w:tplc="A69A1280" w:tentative="1">
      <w:start w:val="1"/>
      <w:numFmt w:val="bullet"/>
      <w:lvlText w:val=""/>
      <w:lvlJc w:val="left"/>
      <w:pPr>
        <w:ind w:left="2160" w:hanging="360"/>
      </w:pPr>
      <w:rPr>
        <w:rFonts w:ascii="Wingdings" w:hAnsi="Wingdings" w:hint="default"/>
      </w:rPr>
    </w:lvl>
    <w:lvl w:ilvl="3" w:tplc="1A0CA52A" w:tentative="1">
      <w:start w:val="1"/>
      <w:numFmt w:val="bullet"/>
      <w:lvlText w:val=""/>
      <w:lvlJc w:val="left"/>
      <w:pPr>
        <w:ind w:left="2880" w:hanging="360"/>
      </w:pPr>
      <w:rPr>
        <w:rFonts w:ascii="Symbol" w:hAnsi="Symbol" w:hint="default"/>
      </w:rPr>
    </w:lvl>
    <w:lvl w:ilvl="4" w:tplc="C938DD20" w:tentative="1">
      <w:start w:val="1"/>
      <w:numFmt w:val="bullet"/>
      <w:lvlText w:val="o"/>
      <w:lvlJc w:val="left"/>
      <w:pPr>
        <w:ind w:left="3600" w:hanging="360"/>
      </w:pPr>
      <w:rPr>
        <w:rFonts w:ascii="Courier New" w:hAnsi="Courier New" w:cs="Courier New" w:hint="default"/>
      </w:rPr>
    </w:lvl>
    <w:lvl w:ilvl="5" w:tplc="A96AF0A8" w:tentative="1">
      <w:start w:val="1"/>
      <w:numFmt w:val="bullet"/>
      <w:lvlText w:val=""/>
      <w:lvlJc w:val="left"/>
      <w:pPr>
        <w:ind w:left="4320" w:hanging="360"/>
      </w:pPr>
      <w:rPr>
        <w:rFonts w:ascii="Wingdings" w:hAnsi="Wingdings" w:hint="default"/>
      </w:rPr>
    </w:lvl>
    <w:lvl w:ilvl="6" w:tplc="F9A8622E" w:tentative="1">
      <w:start w:val="1"/>
      <w:numFmt w:val="bullet"/>
      <w:lvlText w:val=""/>
      <w:lvlJc w:val="left"/>
      <w:pPr>
        <w:ind w:left="5040" w:hanging="360"/>
      </w:pPr>
      <w:rPr>
        <w:rFonts w:ascii="Symbol" w:hAnsi="Symbol" w:hint="default"/>
      </w:rPr>
    </w:lvl>
    <w:lvl w:ilvl="7" w:tplc="D338BB90" w:tentative="1">
      <w:start w:val="1"/>
      <w:numFmt w:val="bullet"/>
      <w:lvlText w:val="o"/>
      <w:lvlJc w:val="left"/>
      <w:pPr>
        <w:ind w:left="5760" w:hanging="360"/>
      </w:pPr>
      <w:rPr>
        <w:rFonts w:ascii="Courier New" w:hAnsi="Courier New" w:cs="Courier New" w:hint="default"/>
      </w:rPr>
    </w:lvl>
    <w:lvl w:ilvl="8" w:tplc="F62A4608" w:tentative="1">
      <w:start w:val="1"/>
      <w:numFmt w:val="bullet"/>
      <w:lvlText w:val=""/>
      <w:lvlJc w:val="left"/>
      <w:pPr>
        <w:ind w:left="6480" w:hanging="360"/>
      </w:pPr>
      <w:rPr>
        <w:rFonts w:ascii="Wingdings" w:hAnsi="Wingdings" w:hint="default"/>
      </w:rPr>
    </w:lvl>
  </w:abstractNum>
  <w:abstractNum w:abstractNumId="12" w15:restartNumberingAfterBreak="0">
    <w:nsid w:val="7E9F7D01"/>
    <w:multiLevelType w:val="hybridMultilevel"/>
    <w:tmpl w:val="ABA2D8A0"/>
    <w:lvl w:ilvl="0" w:tplc="E0BE85C8">
      <w:start w:val="1"/>
      <w:numFmt w:val="bullet"/>
      <w:lvlText w:val=""/>
      <w:lvlJc w:val="left"/>
      <w:pPr>
        <w:ind w:left="720" w:hanging="360"/>
      </w:pPr>
      <w:rPr>
        <w:rFonts w:ascii="Symbol" w:hAnsi="Symbol" w:hint="default"/>
      </w:rPr>
    </w:lvl>
    <w:lvl w:ilvl="1" w:tplc="C5ACDA28" w:tentative="1">
      <w:start w:val="1"/>
      <w:numFmt w:val="bullet"/>
      <w:lvlText w:val="o"/>
      <w:lvlJc w:val="left"/>
      <w:pPr>
        <w:ind w:left="1440" w:hanging="360"/>
      </w:pPr>
      <w:rPr>
        <w:rFonts w:ascii="Courier New" w:hAnsi="Courier New" w:cs="Courier New" w:hint="default"/>
      </w:rPr>
    </w:lvl>
    <w:lvl w:ilvl="2" w:tplc="D67E5B76" w:tentative="1">
      <w:start w:val="1"/>
      <w:numFmt w:val="bullet"/>
      <w:lvlText w:val=""/>
      <w:lvlJc w:val="left"/>
      <w:pPr>
        <w:ind w:left="2160" w:hanging="360"/>
      </w:pPr>
      <w:rPr>
        <w:rFonts w:ascii="Wingdings" w:hAnsi="Wingdings" w:hint="default"/>
      </w:rPr>
    </w:lvl>
    <w:lvl w:ilvl="3" w:tplc="4510E60E" w:tentative="1">
      <w:start w:val="1"/>
      <w:numFmt w:val="bullet"/>
      <w:lvlText w:val=""/>
      <w:lvlJc w:val="left"/>
      <w:pPr>
        <w:ind w:left="2880" w:hanging="360"/>
      </w:pPr>
      <w:rPr>
        <w:rFonts w:ascii="Symbol" w:hAnsi="Symbol" w:hint="default"/>
      </w:rPr>
    </w:lvl>
    <w:lvl w:ilvl="4" w:tplc="63226F42" w:tentative="1">
      <w:start w:val="1"/>
      <w:numFmt w:val="bullet"/>
      <w:lvlText w:val="o"/>
      <w:lvlJc w:val="left"/>
      <w:pPr>
        <w:ind w:left="3600" w:hanging="360"/>
      </w:pPr>
      <w:rPr>
        <w:rFonts w:ascii="Courier New" w:hAnsi="Courier New" w:cs="Courier New" w:hint="default"/>
      </w:rPr>
    </w:lvl>
    <w:lvl w:ilvl="5" w:tplc="92207D26" w:tentative="1">
      <w:start w:val="1"/>
      <w:numFmt w:val="bullet"/>
      <w:lvlText w:val=""/>
      <w:lvlJc w:val="left"/>
      <w:pPr>
        <w:ind w:left="4320" w:hanging="360"/>
      </w:pPr>
      <w:rPr>
        <w:rFonts w:ascii="Wingdings" w:hAnsi="Wingdings" w:hint="default"/>
      </w:rPr>
    </w:lvl>
    <w:lvl w:ilvl="6" w:tplc="78887A08" w:tentative="1">
      <w:start w:val="1"/>
      <w:numFmt w:val="bullet"/>
      <w:lvlText w:val=""/>
      <w:lvlJc w:val="left"/>
      <w:pPr>
        <w:ind w:left="5040" w:hanging="360"/>
      </w:pPr>
      <w:rPr>
        <w:rFonts w:ascii="Symbol" w:hAnsi="Symbol" w:hint="default"/>
      </w:rPr>
    </w:lvl>
    <w:lvl w:ilvl="7" w:tplc="E634F838" w:tentative="1">
      <w:start w:val="1"/>
      <w:numFmt w:val="bullet"/>
      <w:lvlText w:val="o"/>
      <w:lvlJc w:val="left"/>
      <w:pPr>
        <w:ind w:left="5760" w:hanging="360"/>
      </w:pPr>
      <w:rPr>
        <w:rFonts w:ascii="Courier New" w:hAnsi="Courier New" w:cs="Courier New" w:hint="default"/>
      </w:rPr>
    </w:lvl>
    <w:lvl w:ilvl="8" w:tplc="3FCCE4EE"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0"/>
  </w:num>
  <w:num w:numId="4">
    <w:abstractNumId w:val="5"/>
  </w:num>
  <w:num w:numId="5">
    <w:abstractNumId w:val="1"/>
  </w:num>
  <w:num w:numId="6">
    <w:abstractNumId w:val="10"/>
  </w:num>
  <w:num w:numId="7">
    <w:abstractNumId w:val="9"/>
  </w:num>
  <w:num w:numId="8">
    <w:abstractNumId w:val="2"/>
  </w:num>
  <w:num w:numId="9">
    <w:abstractNumId w:val="4"/>
  </w:num>
  <w:num w:numId="10">
    <w:abstractNumId w:val="6"/>
  </w:num>
  <w:num w:numId="11">
    <w:abstractNumId w:val="3"/>
  </w:num>
  <w:num w:numId="12">
    <w:abstractNumId w:val="8"/>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EFF"/>
    <w:rsid w:val="0000078C"/>
    <w:rsid w:val="00004411"/>
    <w:rsid w:val="00021A5D"/>
    <w:rsid w:val="00024F4A"/>
    <w:rsid w:val="00030B27"/>
    <w:rsid w:val="000365FA"/>
    <w:rsid w:val="00037095"/>
    <w:rsid w:val="000414B8"/>
    <w:rsid w:val="00044F5D"/>
    <w:rsid w:val="000503FA"/>
    <w:rsid w:val="00051E4F"/>
    <w:rsid w:val="000524E2"/>
    <w:rsid w:val="0005375B"/>
    <w:rsid w:val="00056A49"/>
    <w:rsid w:val="0006158A"/>
    <w:rsid w:val="0006320D"/>
    <w:rsid w:val="00066142"/>
    <w:rsid w:val="000733C2"/>
    <w:rsid w:val="000763AF"/>
    <w:rsid w:val="00080C68"/>
    <w:rsid w:val="00081D47"/>
    <w:rsid w:val="00092BF9"/>
    <w:rsid w:val="000938E6"/>
    <w:rsid w:val="0009481D"/>
    <w:rsid w:val="0009495E"/>
    <w:rsid w:val="000977D2"/>
    <w:rsid w:val="000A2B0F"/>
    <w:rsid w:val="000A7A98"/>
    <w:rsid w:val="000B1ECD"/>
    <w:rsid w:val="000B1FA9"/>
    <w:rsid w:val="000B24BA"/>
    <w:rsid w:val="000B2859"/>
    <w:rsid w:val="000B6877"/>
    <w:rsid w:val="000B784F"/>
    <w:rsid w:val="000C1729"/>
    <w:rsid w:val="000C219E"/>
    <w:rsid w:val="000C3091"/>
    <w:rsid w:val="000C6642"/>
    <w:rsid w:val="000C7815"/>
    <w:rsid w:val="000D1356"/>
    <w:rsid w:val="000D4F97"/>
    <w:rsid w:val="000E1FF2"/>
    <w:rsid w:val="000F1EDF"/>
    <w:rsid w:val="000F235C"/>
    <w:rsid w:val="000F5249"/>
    <w:rsid w:val="000F53C9"/>
    <w:rsid w:val="000F5736"/>
    <w:rsid w:val="000F69D3"/>
    <w:rsid w:val="000F6D1C"/>
    <w:rsid w:val="000F6FE7"/>
    <w:rsid w:val="00102D47"/>
    <w:rsid w:val="00103C74"/>
    <w:rsid w:val="00110F11"/>
    <w:rsid w:val="001251EF"/>
    <w:rsid w:val="00132A75"/>
    <w:rsid w:val="001376D4"/>
    <w:rsid w:val="00140B23"/>
    <w:rsid w:val="00143EDF"/>
    <w:rsid w:val="00144DCC"/>
    <w:rsid w:val="0014655A"/>
    <w:rsid w:val="001471D1"/>
    <w:rsid w:val="001545A1"/>
    <w:rsid w:val="00154896"/>
    <w:rsid w:val="0015501A"/>
    <w:rsid w:val="00155306"/>
    <w:rsid w:val="00155C7B"/>
    <w:rsid w:val="00161DC6"/>
    <w:rsid w:val="001630EA"/>
    <w:rsid w:val="001804CD"/>
    <w:rsid w:val="00181056"/>
    <w:rsid w:val="00193454"/>
    <w:rsid w:val="001938C7"/>
    <w:rsid w:val="00196EFA"/>
    <w:rsid w:val="001A055B"/>
    <w:rsid w:val="001A42FE"/>
    <w:rsid w:val="001A7F16"/>
    <w:rsid w:val="001B03D5"/>
    <w:rsid w:val="001B1D2A"/>
    <w:rsid w:val="001B45E1"/>
    <w:rsid w:val="001C0FAC"/>
    <w:rsid w:val="001C4174"/>
    <w:rsid w:val="001D76BA"/>
    <w:rsid w:val="001D7A11"/>
    <w:rsid w:val="001E209E"/>
    <w:rsid w:val="001F18AF"/>
    <w:rsid w:val="001F2B5A"/>
    <w:rsid w:val="001F2C34"/>
    <w:rsid w:val="001F4F8F"/>
    <w:rsid w:val="0020423C"/>
    <w:rsid w:val="002064CF"/>
    <w:rsid w:val="0021151B"/>
    <w:rsid w:val="00216792"/>
    <w:rsid w:val="00220016"/>
    <w:rsid w:val="00223947"/>
    <w:rsid w:val="00226A3F"/>
    <w:rsid w:val="00226C77"/>
    <w:rsid w:val="00240835"/>
    <w:rsid w:val="00240B0D"/>
    <w:rsid w:val="002426D4"/>
    <w:rsid w:val="00243BAD"/>
    <w:rsid w:val="00246219"/>
    <w:rsid w:val="00246D78"/>
    <w:rsid w:val="00253F5D"/>
    <w:rsid w:val="00257665"/>
    <w:rsid w:val="00263DC1"/>
    <w:rsid w:val="00264929"/>
    <w:rsid w:val="00267793"/>
    <w:rsid w:val="00287E89"/>
    <w:rsid w:val="002900BC"/>
    <w:rsid w:val="002918A8"/>
    <w:rsid w:val="0029792F"/>
    <w:rsid w:val="002A0A22"/>
    <w:rsid w:val="002A38E1"/>
    <w:rsid w:val="002B5B8F"/>
    <w:rsid w:val="002B690D"/>
    <w:rsid w:val="002C18C6"/>
    <w:rsid w:val="002C25E0"/>
    <w:rsid w:val="002C5C0B"/>
    <w:rsid w:val="002C6D15"/>
    <w:rsid w:val="002C74F4"/>
    <w:rsid w:val="002D6440"/>
    <w:rsid w:val="002E5094"/>
    <w:rsid w:val="002E7F80"/>
    <w:rsid w:val="002F38F5"/>
    <w:rsid w:val="002F47C9"/>
    <w:rsid w:val="002F5B53"/>
    <w:rsid w:val="00301BA1"/>
    <w:rsid w:val="0030662D"/>
    <w:rsid w:val="00315935"/>
    <w:rsid w:val="003216BC"/>
    <w:rsid w:val="00323F9C"/>
    <w:rsid w:val="00323FD7"/>
    <w:rsid w:val="00330A53"/>
    <w:rsid w:val="00332FF4"/>
    <w:rsid w:val="00345F2D"/>
    <w:rsid w:val="00346202"/>
    <w:rsid w:val="003523CE"/>
    <w:rsid w:val="003577E2"/>
    <w:rsid w:val="0036006F"/>
    <w:rsid w:val="0036513E"/>
    <w:rsid w:val="00380DC2"/>
    <w:rsid w:val="00384F15"/>
    <w:rsid w:val="00385577"/>
    <w:rsid w:val="00385A64"/>
    <w:rsid w:val="00390566"/>
    <w:rsid w:val="00391103"/>
    <w:rsid w:val="00391D73"/>
    <w:rsid w:val="00395EC9"/>
    <w:rsid w:val="00396A15"/>
    <w:rsid w:val="003A3ECD"/>
    <w:rsid w:val="003A6514"/>
    <w:rsid w:val="003A6E7B"/>
    <w:rsid w:val="003B01CE"/>
    <w:rsid w:val="003C2409"/>
    <w:rsid w:val="003C47FD"/>
    <w:rsid w:val="003C4A89"/>
    <w:rsid w:val="003D2DE2"/>
    <w:rsid w:val="003D5A5F"/>
    <w:rsid w:val="003D5F4E"/>
    <w:rsid w:val="003F058F"/>
    <w:rsid w:val="003F2258"/>
    <w:rsid w:val="003F2F81"/>
    <w:rsid w:val="003F67AE"/>
    <w:rsid w:val="003F7B23"/>
    <w:rsid w:val="004068E5"/>
    <w:rsid w:val="004139B6"/>
    <w:rsid w:val="00414178"/>
    <w:rsid w:val="00416429"/>
    <w:rsid w:val="00436AB1"/>
    <w:rsid w:val="00436FEA"/>
    <w:rsid w:val="00447083"/>
    <w:rsid w:val="00451662"/>
    <w:rsid w:val="00453870"/>
    <w:rsid w:val="004568B8"/>
    <w:rsid w:val="004608A1"/>
    <w:rsid w:val="004617C3"/>
    <w:rsid w:val="004664DA"/>
    <w:rsid w:val="00477471"/>
    <w:rsid w:val="00481EC0"/>
    <w:rsid w:val="00482AD7"/>
    <w:rsid w:val="004904B2"/>
    <w:rsid w:val="0049293D"/>
    <w:rsid w:val="00495BF0"/>
    <w:rsid w:val="004A101A"/>
    <w:rsid w:val="004A386B"/>
    <w:rsid w:val="004B5261"/>
    <w:rsid w:val="004B6010"/>
    <w:rsid w:val="004B7994"/>
    <w:rsid w:val="004B7FC2"/>
    <w:rsid w:val="004C743A"/>
    <w:rsid w:val="004D47B7"/>
    <w:rsid w:val="004D6C64"/>
    <w:rsid w:val="004E1174"/>
    <w:rsid w:val="004E2ED2"/>
    <w:rsid w:val="004E3A56"/>
    <w:rsid w:val="004E3C0C"/>
    <w:rsid w:val="004F041E"/>
    <w:rsid w:val="004F0483"/>
    <w:rsid w:val="004F0A9E"/>
    <w:rsid w:val="004F520D"/>
    <w:rsid w:val="0051126F"/>
    <w:rsid w:val="0051414A"/>
    <w:rsid w:val="00515B4F"/>
    <w:rsid w:val="00515C06"/>
    <w:rsid w:val="00515F8C"/>
    <w:rsid w:val="005217BF"/>
    <w:rsid w:val="00523083"/>
    <w:rsid w:val="0052556E"/>
    <w:rsid w:val="0052679D"/>
    <w:rsid w:val="00532F5B"/>
    <w:rsid w:val="0054265F"/>
    <w:rsid w:val="005433FF"/>
    <w:rsid w:val="005474A8"/>
    <w:rsid w:val="005501D9"/>
    <w:rsid w:val="00552CED"/>
    <w:rsid w:val="00567309"/>
    <w:rsid w:val="00570537"/>
    <w:rsid w:val="005766BB"/>
    <w:rsid w:val="00577849"/>
    <w:rsid w:val="00580BE5"/>
    <w:rsid w:val="00581761"/>
    <w:rsid w:val="005861BD"/>
    <w:rsid w:val="00593A1F"/>
    <w:rsid w:val="00595455"/>
    <w:rsid w:val="00595B97"/>
    <w:rsid w:val="005A121C"/>
    <w:rsid w:val="005A5DCD"/>
    <w:rsid w:val="005B398B"/>
    <w:rsid w:val="005B4A23"/>
    <w:rsid w:val="005B78F5"/>
    <w:rsid w:val="005D0F46"/>
    <w:rsid w:val="005D2EC8"/>
    <w:rsid w:val="005E215C"/>
    <w:rsid w:val="005E2848"/>
    <w:rsid w:val="005E3F0C"/>
    <w:rsid w:val="005E793D"/>
    <w:rsid w:val="005F0CF8"/>
    <w:rsid w:val="005F5978"/>
    <w:rsid w:val="005F5D55"/>
    <w:rsid w:val="005F6EC6"/>
    <w:rsid w:val="00600855"/>
    <w:rsid w:val="0061120A"/>
    <w:rsid w:val="00611A82"/>
    <w:rsid w:val="00624037"/>
    <w:rsid w:val="00624F23"/>
    <w:rsid w:val="0063710B"/>
    <w:rsid w:val="00642E45"/>
    <w:rsid w:val="006435B0"/>
    <w:rsid w:val="006522C1"/>
    <w:rsid w:val="00652913"/>
    <w:rsid w:val="00654287"/>
    <w:rsid w:val="00660CCB"/>
    <w:rsid w:val="00661A4E"/>
    <w:rsid w:val="006622D7"/>
    <w:rsid w:val="006645CF"/>
    <w:rsid w:val="00667589"/>
    <w:rsid w:val="00682671"/>
    <w:rsid w:val="00685929"/>
    <w:rsid w:val="0069299A"/>
    <w:rsid w:val="00694731"/>
    <w:rsid w:val="00695F75"/>
    <w:rsid w:val="006A108D"/>
    <w:rsid w:val="006A3045"/>
    <w:rsid w:val="006A4002"/>
    <w:rsid w:val="006B21A3"/>
    <w:rsid w:val="006B35FC"/>
    <w:rsid w:val="006B6F67"/>
    <w:rsid w:val="006D1437"/>
    <w:rsid w:val="006D4020"/>
    <w:rsid w:val="006D72B0"/>
    <w:rsid w:val="006E0952"/>
    <w:rsid w:val="006F1916"/>
    <w:rsid w:val="006F32C7"/>
    <w:rsid w:val="00700954"/>
    <w:rsid w:val="0070606D"/>
    <w:rsid w:val="00715481"/>
    <w:rsid w:val="007252B9"/>
    <w:rsid w:val="00727DDA"/>
    <w:rsid w:val="007334A4"/>
    <w:rsid w:val="007451C1"/>
    <w:rsid w:val="00747244"/>
    <w:rsid w:val="007508F7"/>
    <w:rsid w:val="00753F21"/>
    <w:rsid w:val="00757618"/>
    <w:rsid w:val="00757C8B"/>
    <w:rsid w:val="00770994"/>
    <w:rsid w:val="00771870"/>
    <w:rsid w:val="00771E42"/>
    <w:rsid w:val="00772B77"/>
    <w:rsid w:val="007746F3"/>
    <w:rsid w:val="00776FF6"/>
    <w:rsid w:val="00780BE6"/>
    <w:rsid w:val="0079299F"/>
    <w:rsid w:val="00793AB1"/>
    <w:rsid w:val="0079416B"/>
    <w:rsid w:val="007A0536"/>
    <w:rsid w:val="007A26F5"/>
    <w:rsid w:val="007A494C"/>
    <w:rsid w:val="007A5EA5"/>
    <w:rsid w:val="007B636A"/>
    <w:rsid w:val="007C66A6"/>
    <w:rsid w:val="007D36F8"/>
    <w:rsid w:val="007D665B"/>
    <w:rsid w:val="007E66DA"/>
    <w:rsid w:val="007E7EB4"/>
    <w:rsid w:val="007F27DB"/>
    <w:rsid w:val="007F2AE4"/>
    <w:rsid w:val="008017A5"/>
    <w:rsid w:val="00802AED"/>
    <w:rsid w:val="008079FA"/>
    <w:rsid w:val="0081041F"/>
    <w:rsid w:val="00811DD7"/>
    <w:rsid w:val="00812C3A"/>
    <w:rsid w:val="00815EBE"/>
    <w:rsid w:val="00821417"/>
    <w:rsid w:val="008252C1"/>
    <w:rsid w:val="008256E3"/>
    <w:rsid w:val="008351CA"/>
    <w:rsid w:val="0084122A"/>
    <w:rsid w:val="00842891"/>
    <w:rsid w:val="008428FD"/>
    <w:rsid w:val="00847A09"/>
    <w:rsid w:val="00851C6C"/>
    <w:rsid w:val="0085425F"/>
    <w:rsid w:val="00873817"/>
    <w:rsid w:val="008861FE"/>
    <w:rsid w:val="00893E76"/>
    <w:rsid w:val="00895519"/>
    <w:rsid w:val="008A2D6D"/>
    <w:rsid w:val="008A4101"/>
    <w:rsid w:val="008A61CB"/>
    <w:rsid w:val="008B6D3B"/>
    <w:rsid w:val="008C7658"/>
    <w:rsid w:val="008D3568"/>
    <w:rsid w:val="008D52D7"/>
    <w:rsid w:val="008D57A6"/>
    <w:rsid w:val="008E3D1B"/>
    <w:rsid w:val="008E48D2"/>
    <w:rsid w:val="008E5E52"/>
    <w:rsid w:val="008E66B8"/>
    <w:rsid w:val="008F1031"/>
    <w:rsid w:val="008F2AB0"/>
    <w:rsid w:val="008F6DC0"/>
    <w:rsid w:val="008F7D46"/>
    <w:rsid w:val="009012C5"/>
    <w:rsid w:val="00901628"/>
    <w:rsid w:val="00907675"/>
    <w:rsid w:val="0091047F"/>
    <w:rsid w:val="00914393"/>
    <w:rsid w:val="00915096"/>
    <w:rsid w:val="00920C97"/>
    <w:rsid w:val="009262EF"/>
    <w:rsid w:val="00926BA6"/>
    <w:rsid w:val="00932AA5"/>
    <w:rsid w:val="00940635"/>
    <w:rsid w:val="00943607"/>
    <w:rsid w:val="009442D4"/>
    <w:rsid w:val="00970EFF"/>
    <w:rsid w:val="00974929"/>
    <w:rsid w:val="00977B71"/>
    <w:rsid w:val="00982175"/>
    <w:rsid w:val="00984501"/>
    <w:rsid w:val="00984C6F"/>
    <w:rsid w:val="009927A2"/>
    <w:rsid w:val="00995561"/>
    <w:rsid w:val="009B0CB4"/>
    <w:rsid w:val="009C4EB2"/>
    <w:rsid w:val="009D027B"/>
    <w:rsid w:val="009D1F35"/>
    <w:rsid w:val="009D288E"/>
    <w:rsid w:val="009D3072"/>
    <w:rsid w:val="009D38FC"/>
    <w:rsid w:val="009D4E65"/>
    <w:rsid w:val="009D541A"/>
    <w:rsid w:val="009E0B35"/>
    <w:rsid w:val="009E0FAD"/>
    <w:rsid w:val="009E2EE5"/>
    <w:rsid w:val="009E37DE"/>
    <w:rsid w:val="009F6380"/>
    <w:rsid w:val="009F78BA"/>
    <w:rsid w:val="00A0020A"/>
    <w:rsid w:val="00A00E66"/>
    <w:rsid w:val="00A04EF5"/>
    <w:rsid w:val="00A10E12"/>
    <w:rsid w:val="00A11FE8"/>
    <w:rsid w:val="00A13647"/>
    <w:rsid w:val="00A13C0E"/>
    <w:rsid w:val="00A216FA"/>
    <w:rsid w:val="00A24287"/>
    <w:rsid w:val="00A247A8"/>
    <w:rsid w:val="00A26D8A"/>
    <w:rsid w:val="00A27475"/>
    <w:rsid w:val="00A303BC"/>
    <w:rsid w:val="00A32A1D"/>
    <w:rsid w:val="00A41A29"/>
    <w:rsid w:val="00A41BDF"/>
    <w:rsid w:val="00A420E5"/>
    <w:rsid w:val="00A42DEA"/>
    <w:rsid w:val="00A44F12"/>
    <w:rsid w:val="00A459A5"/>
    <w:rsid w:val="00A50498"/>
    <w:rsid w:val="00A53803"/>
    <w:rsid w:val="00A553FB"/>
    <w:rsid w:val="00A573A9"/>
    <w:rsid w:val="00A579D5"/>
    <w:rsid w:val="00A60BF8"/>
    <w:rsid w:val="00A61EA6"/>
    <w:rsid w:val="00A66F80"/>
    <w:rsid w:val="00A75EA3"/>
    <w:rsid w:val="00A76835"/>
    <w:rsid w:val="00A805C1"/>
    <w:rsid w:val="00A80AA1"/>
    <w:rsid w:val="00A83A56"/>
    <w:rsid w:val="00A91E37"/>
    <w:rsid w:val="00A94DC0"/>
    <w:rsid w:val="00A955F8"/>
    <w:rsid w:val="00AA19A6"/>
    <w:rsid w:val="00AA4427"/>
    <w:rsid w:val="00AA5B34"/>
    <w:rsid w:val="00AA6C75"/>
    <w:rsid w:val="00AA7184"/>
    <w:rsid w:val="00AB02D1"/>
    <w:rsid w:val="00AB0FCC"/>
    <w:rsid w:val="00AB4D0F"/>
    <w:rsid w:val="00AC1F7C"/>
    <w:rsid w:val="00AC23AD"/>
    <w:rsid w:val="00AC42C4"/>
    <w:rsid w:val="00AD5510"/>
    <w:rsid w:val="00AD66E9"/>
    <w:rsid w:val="00AD692C"/>
    <w:rsid w:val="00AE0065"/>
    <w:rsid w:val="00AE34F0"/>
    <w:rsid w:val="00AF4223"/>
    <w:rsid w:val="00B018B3"/>
    <w:rsid w:val="00B02B3C"/>
    <w:rsid w:val="00B02EFF"/>
    <w:rsid w:val="00B1635D"/>
    <w:rsid w:val="00B202BD"/>
    <w:rsid w:val="00B2639C"/>
    <w:rsid w:val="00B312D8"/>
    <w:rsid w:val="00B341C5"/>
    <w:rsid w:val="00B40F05"/>
    <w:rsid w:val="00B50FC5"/>
    <w:rsid w:val="00B5593B"/>
    <w:rsid w:val="00B55AAC"/>
    <w:rsid w:val="00B619F4"/>
    <w:rsid w:val="00B63AC5"/>
    <w:rsid w:val="00B83263"/>
    <w:rsid w:val="00B87EDF"/>
    <w:rsid w:val="00BA201D"/>
    <w:rsid w:val="00BA2AF7"/>
    <w:rsid w:val="00BB0FC9"/>
    <w:rsid w:val="00BB3155"/>
    <w:rsid w:val="00BB3297"/>
    <w:rsid w:val="00BC0379"/>
    <w:rsid w:val="00BC6EDC"/>
    <w:rsid w:val="00BF333A"/>
    <w:rsid w:val="00C00E1B"/>
    <w:rsid w:val="00C012FD"/>
    <w:rsid w:val="00C04F9B"/>
    <w:rsid w:val="00C101AA"/>
    <w:rsid w:val="00C12612"/>
    <w:rsid w:val="00C12DA1"/>
    <w:rsid w:val="00C15FCA"/>
    <w:rsid w:val="00C17B96"/>
    <w:rsid w:val="00C226C5"/>
    <w:rsid w:val="00C23B87"/>
    <w:rsid w:val="00C262DD"/>
    <w:rsid w:val="00C34D5D"/>
    <w:rsid w:val="00C442CC"/>
    <w:rsid w:val="00C44589"/>
    <w:rsid w:val="00C51223"/>
    <w:rsid w:val="00C51325"/>
    <w:rsid w:val="00C52E41"/>
    <w:rsid w:val="00C53C74"/>
    <w:rsid w:val="00C6458E"/>
    <w:rsid w:val="00C64DDD"/>
    <w:rsid w:val="00C656CC"/>
    <w:rsid w:val="00C703CB"/>
    <w:rsid w:val="00C706FE"/>
    <w:rsid w:val="00C72E63"/>
    <w:rsid w:val="00C7579D"/>
    <w:rsid w:val="00C76072"/>
    <w:rsid w:val="00C82624"/>
    <w:rsid w:val="00C86B38"/>
    <w:rsid w:val="00C90B54"/>
    <w:rsid w:val="00C91C8F"/>
    <w:rsid w:val="00C9388E"/>
    <w:rsid w:val="00CA1DC9"/>
    <w:rsid w:val="00CA324E"/>
    <w:rsid w:val="00CA34AE"/>
    <w:rsid w:val="00CA568B"/>
    <w:rsid w:val="00CB13D0"/>
    <w:rsid w:val="00CB478C"/>
    <w:rsid w:val="00CE1E24"/>
    <w:rsid w:val="00CE468F"/>
    <w:rsid w:val="00CE60C6"/>
    <w:rsid w:val="00CF7411"/>
    <w:rsid w:val="00CF7BDE"/>
    <w:rsid w:val="00D04C7B"/>
    <w:rsid w:val="00D118C2"/>
    <w:rsid w:val="00D12DE9"/>
    <w:rsid w:val="00D15E93"/>
    <w:rsid w:val="00D17474"/>
    <w:rsid w:val="00D17BAD"/>
    <w:rsid w:val="00D201C1"/>
    <w:rsid w:val="00D22A3F"/>
    <w:rsid w:val="00D2301A"/>
    <w:rsid w:val="00D23E33"/>
    <w:rsid w:val="00D306DF"/>
    <w:rsid w:val="00D351C6"/>
    <w:rsid w:val="00D35F36"/>
    <w:rsid w:val="00D40D17"/>
    <w:rsid w:val="00D43AFB"/>
    <w:rsid w:val="00D45D85"/>
    <w:rsid w:val="00D47C2E"/>
    <w:rsid w:val="00D51D71"/>
    <w:rsid w:val="00D56441"/>
    <w:rsid w:val="00D621F9"/>
    <w:rsid w:val="00D6798F"/>
    <w:rsid w:val="00D71CCD"/>
    <w:rsid w:val="00D71DB3"/>
    <w:rsid w:val="00D71FCF"/>
    <w:rsid w:val="00D73853"/>
    <w:rsid w:val="00D7484A"/>
    <w:rsid w:val="00D76FA3"/>
    <w:rsid w:val="00D80D40"/>
    <w:rsid w:val="00D82A24"/>
    <w:rsid w:val="00D84135"/>
    <w:rsid w:val="00D849BF"/>
    <w:rsid w:val="00D84D53"/>
    <w:rsid w:val="00D858AB"/>
    <w:rsid w:val="00D90A5A"/>
    <w:rsid w:val="00D91821"/>
    <w:rsid w:val="00D93AC1"/>
    <w:rsid w:val="00D94EC1"/>
    <w:rsid w:val="00DA01F2"/>
    <w:rsid w:val="00DA0869"/>
    <w:rsid w:val="00DA0F73"/>
    <w:rsid w:val="00DA2CA4"/>
    <w:rsid w:val="00DA38C0"/>
    <w:rsid w:val="00DA4699"/>
    <w:rsid w:val="00DA65B1"/>
    <w:rsid w:val="00DA6860"/>
    <w:rsid w:val="00DB55AE"/>
    <w:rsid w:val="00DC2EC4"/>
    <w:rsid w:val="00DC3974"/>
    <w:rsid w:val="00DD3BE0"/>
    <w:rsid w:val="00DE0108"/>
    <w:rsid w:val="00DE7F30"/>
    <w:rsid w:val="00DF0139"/>
    <w:rsid w:val="00DF63D4"/>
    <w:rsid w:val="00E04173"/>
    <w:rsid w:val="00E074CA"/>
    <w:rsid w:val="00E1061D"/>
    <w:rsid w:val="00E15174"/>
    <w:rsid w:val="00E26077"/>
    <w:rsid w:val="00E31AF3"/>
    <w:rsid w:val="00E47559"/>
    <w:rsid w:val="00E62A75"/>
    <w:rsid w:val="00E73E0F"/>
    <w:rsid w:val="00E80C2E"/>
    <w:rsid w:val="00E812D3"/>
    <w:rsid w:val="00E83143"/>
    <w:rsid w:val="00E83989"/>
    <w:rsid w:val="00E8590B"/>
    <w:rsid w:val="00E86ACB"/>
    <w:rsid w:val="00E87B5A"/>
    <w:rsid w:val="00EA023B"/>
    <w:rsid w:val="00EA11AA"/>
    <w:rsid w:val="00EA2B95"/>
    <w:rsid w:val="00EA5CDC"/>
    <w:rsid w:val="00EB1C2E"/>
    <w:rsid w:val="00EB1E72"/>
    <w:rsid w:val="00EC07A2"/>
    <w:rsid w:val="00EC27C5"/>
    <w:rsid w:val="00EC7EF6"/>
    <w:rsid w:val="00ED0502"/>
    <w:rsid w:val="00ED1D2D"/>
    <w:rsid w:val="00ED67CD"/>
    <w:rsid w:val="00EE2E51"/>
    <w:rsid w:val="00EE5D77"/>
    <w:rsid w:val="00EE60F5"/>
    <w:rsid w:val="00EE62D5"/>
    <w:rsid w:val="00EE69D1"/>
    <w:rsid w:val="00EF428E"/>
    <w:rsid w:val="00EF47D8"/>
    <w:rsid w:val="00F00C5E"/>
    <w:rsid w:val="00F06325"/>
    <w:rsid w:val="00F22F4E"/>
    <w:rsid w:val="00F23747"/>
    <w:rsid w:val="00F27CDA"/>
    <w:rsid w:val="00F36FB0"/>
    <w:rsid w:val="00F417FE"/>
    <w:rsid w:val="00F5209C"/>
    <w:rsid w:val="00F52CA1"/>
    <w:rsid w:val="00F55773"/>
    <w:rsid w:val="00F65128"/>
    <w:rsid w:val="00F66A8B"/>
    <w:rsid w:val="00F67164"/>
    <w:rsid w:val="00F70FE0"/>
    <w:rsid w:val="00F73857"/>
    <w:rsid w:val="00F73D83"/>
    <w:rsid w:val="00F807F6"/>
    <w:rsid w:val="00F8695D"/>
    <w:rsid w:val="00F907EE"/>
    <w:rsid w:val="00FA4942"/>
    <w:rsid w:val="00FB2C77"/>
    <w:rsid w:val="00FB4D90"/>
    <w:rsid w:val="00FC4EED"/>
    <w:rsid w:val="00FD24A4"/>
    <w:rsid w:val="00FD2DC8"/>
    <w:rsid w:val="00FD5549"/>
    <w:rsid w:val="00FE2903"/>
    <w:rsid w:val="00FE4247"/>
    <w:rsid w:val="00FE49CB"/>
    <w:rsid w:val="00FE60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4CA7B7"/>
  <w15:docId w15:val="{6752D327-8439-44F7-AF9A-24CF76480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0EFF"/>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70EFF"/>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uiPriority w:val="99"/>
    <w:unhideWhenUsed/>
    <w:rsid w:val="00970EFF"/>
    <w:rPr>
      <w:color w:val="0563C1"/>
      <w:u w:val="single"/>
    </w:rPr>
  </w:style>
  <w:style w:type="paragraph" w:styleId="a5">
    <w:name w:val="header"/>
    <w:basedOn w:val="a"/>
    <w:link w:val="a6"/>
    <w:uiPriority w:val="99"/>
    <w:unhideWhenUsed/>
    <w:rsid w:val="004D6C6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D6C64"/>
    <w:rPr>
      <w:rFonts w:ascii="Calibri" w:eastAsia="Calibri" w:hAnsi="Calibri" w:cs="Times New Roman"/>
    </w:rPr>
  </w:style>
  <w:style w:type="paragraph" w:styleId="a7">
    <w:name w:val="footer"/>
    <w:basedOn w:val="a"/>
    <w:link w:val="a8"/>
    <w:uiPriority w:val="99"/>
    <w:unhideWhenUsed/>
    <w:rsid w:val="004D6C6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D6C64"/>
    <w:rPr>
      <w:rFonts w:ascii="Calibri" w:eastAsia="Calibri" w:hAnsi="Calibri" w:cs="Times New Roman"/>
    </w:rPr>
  </w:style>
  <w:style w:type="paragraph" w:styleId="a9">
    <w:name w:val="List Paragraph"/>
    <w:aliases w:val="1,1. Абзац списка,ERP-List Paragraph,List Paragraph1,List Paragraph11,List Paragraph2,Normal bullet 2,References,Абзац,Абзац с отступом,Абзац списка3,Абзац списка7,Абзац списка71,Абзац списка8,Содержание. 2 уровень,ТАБЛИЦЫ,маркированный"/>
    <w:basedOn w:val="a"/>
    <w:link w:val="aa"/>
    <w:uiPriority w:val="34"/>
    <w:qFormat/>
    <w:rsid w:val="0036006F"/>
    <w:pPr>
      <w:spacing w:after="160" w:line="259" w:lineRule="auto"/>
      <w:ind w:left="720"/>
      <w:contextualSpacing/>
    </w:pPr>
    <w:rPr>
      <w:rFonts w:asciiTheme="minorHAnsi" w:eastAsia="Times New Roman" w:hAnsiTheme="minorHAnsi"/>
    </w:rPr>
  </w:style>
  <w:style w:type="paragraph" w:styleId="ab">
    <w:name w:val="Balloon Text"/>
    <w:basedOn w:val="a"/>
    <w:link w:val="ac"/>
    <w:uiPriority w:val="99"/>
    <w:semiHidden/>
    <w:unhideWhenUsed/>
    <w:rsid w:val="0009481D"/>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481D"/>
    <w:rPr>
      <w:rFonts w:ascii="Segoe UI" w:eastAsia="Calibri" w:hAnsi="Segoe UI" w:cs="Segoe UI"/>
      <w:sz w:val="18"/>
      <w:szCs w:val="18"/>
    </w:rPr>
  </w:style>
  <w:style w:type="character" w:styleId="ad">
    <w:name w:val="annotation reference"/>
    <w:basedOn w:val="a0"/>
    <w:uiPriority w:val="99"/>
    <w:semiHidden/>
    <w:unhideWhenUsed/>
    <w:rsid w:val="00815EBE"/>
    <w:rPr>
      <w:sz w:val="16"/>
      <w:szCs w:val="16"/>
    </w:rPr>
  </w:style>
  <w:style w:type="paragraph" w:styleId="ae">
    <w:name w:val="annotation text"/>
    <w:basedOn w:val="a"/>
    <w:link w:val="af"/>
    <w:uiPriority w:val="99"/>
    <w:unhideWhenUsed/>
    <w:rsid w:val="00056A49"/>
    <w:pPr>
      <w:spacing w:line="240" w:lineRule="auto"/>
    </w:pPr>
    <w:rPr>
      <w:sz w:val="20"/>
      <w:szCs w:val="20"/>
    </w:rPr>
  </w:style>
  <w:style w:type="character" w:customStyle="1" w:styleId="af">
    <w:name w:val="Текст примечания Знак"/>
    <w:basedOn w:val="a0"/>
    <w:link w:val="ae"/>
    <w:uiPriority w:val="99"/>
    <w:rsid w:val="00815EBE"/>
    <w:rPr>
      <w:rFonts w:ascii="Calibri" w:eastAsia="Calibri" w:hAnsi="Calibri" w:cs="Times New Roman"/>
      <w:sz w:val="20"/>
      <w:szCs w:val="20"/>
    </w:rPr>
  </w:style>
  <w:style w:type="paragraph" w:styleId="af0">
    <w:name w:val="annotation subject"/>
    <w:basedOn w:val="ae"/>
    <w:next w:val="ae"/>
    <w:link w:val="af1"/>
    <w:uiPriority w:val="99"/>
    <w:semiHidden/>
    <w:unhideWhenUsed/>
    <w:rsid w:val="00815EBE"/>
    <w:rPr>
      <w:b/>
      <w:bCs/>
    </w:rPr>
  </w:style>
  <w:style w:type="character" w:customStyle="1" w:styleId="af1">
    <w:name w:val="Тема примечания Знак"/>
    <w:basedOn w:val="af"/>
    <w:link w:val="af0"/>
    <w:uiPriority w:val="99"/>
    <w:semiHidden/>
    <w:rsid w:val="00815EBE"/>
    <w:rPr>
      <w:rFonts w:ascii="Calibri" w:eastAsia="Calibri" w:hAnsi="Calibri" w:cs="Times New Roman"/>
      <w:b/>
      <w:bCs/>
      <w:sz w:val="20"/>
      <w:szCs w:val="20"/>
    </w:rPr>
  </w:style>
  <w:style w:type="table" w:styleId="af2">
    <w:name w:val="Table Grid"/>
    <w:basedOn w:val="a1"/>
    <w:uiPriority w:val="39"/>
    <w:rsid w:val="008F2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Абзац списка Знак"/>
    <w:aliases w:val="1 Знак,1. Абзац списка Знак,ERP-List Paragraph Знак,List Paragraph1 Знак,List Paragraph11 Знак,List Paragraph2 Знак,Normal bullet 2 Знак,References Знак,Абзац Знак,Абзац с отступом Знак,Абзац списка3 Знак,Абзац списка7 Знак"/>
    <w:basedOn w:val="a0"/>
    <w:link w:val="a9"/>
    <w:uiPriority w:val="34"/>
    <w:qFormat/>
    <w:locked/>
    <w:rsid w:val="00915096"/>
    <w:rPr>
      <w:rFonts w:eastAsia="Times New Roman" w:cs="Times New Roman"/>
    </w:rPr>
  </w:style>
  <w:style w:type="paragraph" w:customStyle="1" w:styleId="ArialRegular12pt">
    <w:name w:val="Основной стиль текста (Arial Regular 12pt)"/>
    <w:basedOn w:val="a"/>
    <w:link w:val="ArialRegular12pt0"/>
    <w:qFormat/>
    <w:rsid w:val="00515C06"/>
    <w:pPr>
      <w:spacing w:after="160" w:line="259" w:lineRule="auto"/>
      <w:jc w:val="both"/>
    </w:pPr>
    <w:rPr>
      <w:rFonts w:ascii="Arial" w:eastAsia="Times New Roman" w:hAnsi="Arial" w:cs="Arial"/>
      <w:sz w:val="24"/>
      <w:szCs w:val="20"/>
      <w:lang w:eastAsia="ru-RU"/>
    </w:rPr>
  </w:style>
  <w:style w:type="paragraph" w:customStyle="1" w:styleId="ArialBold12pt">
    <w:name w:val="Цитата (Arial Bold 12pt)"/>
    <w:basedOn w:val="a"/>
    <w:link w:val="ArialBold12pt0"/>
    <w:qFormat/>
    <w:rsid w:val="00515C06"/>
    <w:pPr>
      <w:pBdr>
        <w:top w:val="single" w:sz="4" w:space="4" w:color="auto"/>
        <w:bottom w:val="single" w:sz="4" w:space="4" w:color="auto"/>
      </w:pBdr>
      <w:spacing w:after="160" w:line="259" w:lineRule="auto"/>
      <w:jc w:val="both"/>
    </w:pPr>
    <w:rPr>
      <w:rFonts w:ascii="Arial" w:eastAsia="Times New Roman" w:hAnsi="Arial" w:cs="Arial"/>
      <w:b/>
      <w:color w:val="005A8B"/>
      <w:sz w:val="24"/>
      <w:szCs w:val="20"/>
      <w:lang w:eastAsia="ru-RU"/>
    </w:rPr>
  </w:style>
  <w:style w:type="character" w:customStyle="1" w:styleId="ArialRegular12pt0">
    <w:name w:val="Основной стиль текста (Arial Regular 12pt) Знак"/>
    <w:basedOn w:val="a0"/>
    <w:link w:val="ArialRegular12pt"/>
    <w:locked/>
    <w:rsid w:val="00515C06"/>
    <w:rPr>
      <w:rFonts w:ascii="Arial" w:eastAsia="Times New Roman" w:hAnsi="Arial" w:cs="Arial"/>
      <w:sz w:val="24"/>
      <w:szCs w:val="20"/>
      <w:lang w:eastAsia="ru-RU"/>
    </w:rPr>
  </w:style>
  <w:style w:type="character" w:customStyle="1" w:styleId="ArialBold12pt0">
    <w:name w:val="Цитата (Arial Bold 12pt) Знак"/>
    <w:basedOn w:val="a0"/>
    <w:link w:val="ArialBold12pt"/>
    <w:locked/>
    <w:rsid w:val="00515C06"/>
    <w:rPr>
      <w:rFonts w:ascii="Arial" w:eastAsia="Times New Roman" w:hAnsi="Arial" w:cs="Arial"/>
      <w:b/>
      <w:color w:val="005A8B"/>
      <w:sz w:val="24"/>
      <w:szCs w:val="20"/>
      <w:lang w:eastAsia="ru-RU"/>
    </w:rPr>
  </w:style>
  <w:style w:type="paragraph" w:customStyle="1" w:styleId="Arila10pt">
    <w:name w:val="Источник: Arila 10pt"/>
    <w:basedOn w:val="ArialRegular12pt"/>
    <w:link w:val="Arila10pt0"/>
    <w:qFormat/>
    <w:rsid w:val="00515C06"/>
    <w:pPr>
      <w:jc w:val="left"/>
    </w:pPr>
    <w:rPr>
      <w:b/>
      <w:sz w:val="20"/>
      <w:szCs w:val="16"/>
    </w:rPr>
  </w:style>
  <w:style w:type="character" w:customStyle="1" w:styleId="Arila10pt0">
    <w:name w:val="Источник: Arila 10pt Знак"/>
    <w:basedOn w:val="ArialRegular12pt0"/>
    <w:link w:val="Arila10pt"/>
    <w:locked/>
    <w:rsid w:val="00515C06"/>
    <w:rPr>
      <w:rFonts w:ascii="Arial" w:eastAsia="Times New Roman" w:hAnsi="Arial" w:cs="Arial"/>
      <w:b/>
      <w:sz w:val="20"/>
      <w:szCs w:val="16"/>
      <w:lang w:eastAsia="ru-RU"/>
    </w:rPr>
  </w:style>
  <w:style w:type="paragraph" w:styleId="af3">
    <w:name w:val="No Spacing"/>
    <w:uiPriority w:val="1"/>
    <w:qFormat/>
    <w:rsid w:val="00515C06"/>
    <w:pPr>
      <w:spacing w:after="0" w:line="240" w:lineRule="auto"/>
    </w:pPr>
    <w:rPr>
      <w:lang w:val="en-US"/>
    </w:rPr>
  </w:style>
  <w:style w:type="paragraph" w:styleId="af4">
    <w:name w:val="Revision"/>
    <w:hidden/>
    <w:uiPriority w:val="99"/>
    <w:semiHidden/>
    <w:rsid w:val="008252C1"/>
    <w:pPr>
      <w:spacing w:after="0" w:line="240" w:lineRule="auto"/>
    </w:pPr>
    <w:rPr>
      <w:rFonts w:ascii="Calibri" w:eastAsia="Calibri" w:hAnsi="Calibri" w:cs="Times New Roman"/>
    </w:rPr>
  </w:style>
  <w:style w:type="character" w:styleId="af5">
    <w:name w:val="FollowedHyperlink"/>
    <w:basedOn w:val="a0"/>
    <w:uiPriority w:val="99"/>
    <w:semiHidden/>
    <w:unhideWhenUsed/>
    <w:rsid w:val="0079416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abr.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abr.org/en/analytics/special-report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abr.org/" TargetMode="External"/><Relationship Id="rId4" Type="http://schemas.openxmlformats.org/officeDocument/2006/relationships/settings" Target="settings.xml"/><Relationship Id="rId9" Type="http://schemas.openxmlformats.org/officeDocument/2006/relationships/hyperlink" Target="https://eabr.org/analytics/special-reports/"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4B73E-8BA4-42C4-AE71-A3DD49FF1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2987</Words>
  <Characters>17030</Characters>
  <Application>Microsoft Office Word</Application>
  <DocSecurity>0</DocSecurity>
  <Lines>141</Lines>
  <Paragraphs>39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Ахунбаев Арман</dc:creator>
  <cp:lastModifiedBy>Камилов Алишер Нурланович</cp:lastModifiedBy>
  <cp:revision>4</cp:revision>
  <cp:lastPrinted>2022-10-06T10:44:00Z</cp:lastPrinted>
  <dcterms:created xsi:type="dcterms:W3CDTF">2024-04-02T06:25:00Z</dcterms:created>
  <dcterms:modified xsi:type="dcterms:W3CDTF">2024-04-16T07:57:00Z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133d305364b3157b9b375eff9d669aa11abcbb6de1b2a3fd50248ea7a12be84b</vt:lpwstr>
  </property>
</Properties>
</file>