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B292A" w14:textId="77777777" w:rsidR="004D67D8" w:rsidRPr="004D67D8" w:rsidRDefault="00BF4E45" w:rsidP="004D67D8">
      <w:pPr>
        <w:spacing w:after="12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D67D8">
        <w:rPr>
          <w:rFonts w:ascii="Verdana" w:hAnsi="Verdana" w:cs="Arial"/>
          <w:b/>
          <w:bCs/>
          <w:sz w:val="20"/>
          <w:szCs w:val="20"/>
        </w:rPr>
        <w:t>Макропрогноз</w:t>
      </w:r>
      <w:proofErr w:type="spellEnd"/>
      <w:r w:rsidRPr="004D67D8">
        <w:rPr>
          <w:rFonts w:ascii="Verdana" w:hAnsi="Verdana" w:cs="Arial"/>
          <w:b/>
          <w:bCs/>
          <w:sz w:val="20"/>
          <w:szCs w:val="20"/>
        </w:rPr>
        <w:t xml:space="preserve"> ЕАБР: </w:t>
      </w:r>
      <w:r w:rsidR="0082228C" w:rsidRPr="0082228C">
        <w:rPr>
          <w:rFonts w:ascii="Verdana" w:hAnsi="Verdana" w:cs="Arial"/>
          <w:b/>
          <w:bCs/>
          <w:sz w:val="20"/>
          <w:szCs w:val="20"/>
        </w:rPr>
        <w:t xml:space="preserve">ВВП </w:t>
      </w:r>
      <w:r w:rsidR="00766A61">
        <w:rPr>
          <w:rFonts w:ascii="Verdana" w:hAnsi="Verdana" w:cs="Arial"/>
          <w:b/>
          <w:bCs/>
          <w:sz w:val="20"/>
          <w:szCs w:val="20"/>
        </w:rPr>
        <w:t>стран</w:t>
      </w:r>
      <w:r w:rsidR="003611F0">
        <w:rPr>
          <w:rFonts w:ascii="Verdana" w:hAnsi="Verdana" w:cs="Arial"/>
          <w:b/>
          <w:bCs/>
          <w:sz w:val="20"/>
          <w:szCs w:val="20"/>
        </w:rPr>
        <w:t xml:space="preserve"> — </w:t>
      </w:r>
      <w:r w:rsidR="00766A61">
        <w:rPr>
          <w:rFonts w:ascii="Verdana" w:hAnsi="Verdana" w:cs="Arial"/>
          <w:b/>
          <w:bCs/>
          <w:sz w:val="20"/>
          <w:szCs w:val="20"/>
        </w:rPr>
        <w:t>участниц</w:t>
      </w:r>
      <w:r w:rsidR="0082228C" w:rsidRPr="0082228C">
        <w:rPr>
          <w:rFonts w:ascii="Verdana" w:hAnsi="Verdana" w:cs="Arial"/>
          <w:b/>
          <w:bCs/>
          <w:sz w:val="20"/>
          <w:szCs w:val="20"/>
        </w:rPr>
        <w:t xml:space="preserve"> ЕАБР в 2025 г</w:t>
      </w:r>
      <w:r w:rsidR="003611F0">
        <w:rPr>
          <w:rFonts w:ascii="Verdana" w:hAnsi="Verdana" w:cs="Arial"/>
          <w:b/>
          <w:bCs/>
          <w:sz w:val="20"/>
          <w:szCs w:val="20"/>
        </w:rPr>
        <w:t>оду</w:t>
      </w:r>
      <w:r w:rsidR="0082228C" w:rsidRPr="0082228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3554F">
        <w:rPr>
          <w:rFonts w:ascii="Verdana" w:hAnsi="Verdana" w:cs="Arial"/>
          <w:b/>
          <w:bCs/>
          <w:sz w:val="20"/>
          <w:szCs w:val="20"/>
        </w:rPr>
        <w:t>достигнет</w:t>
      </w:r>
      <w:r w:rsidR="0082228C" w:rsidRPr="0082228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3554F">
        <w:rPr>
          <w:rFonts w:ascii="Verdana" w:hAnsi="Verdana" w:cs="Arial"/>
          <w:b/>
          <w:bCs/>
          <w:sz w:val="20"/>
          <w:szCs w:val="20"/>
        </w:rPr>
        <w:t>3</w:t>
      </w:r>
      <w:r w:rsidR="0082228C" w:rsidRPr="0082228C">
        <w:rPr>
          <w:rFonts w:ascii="Verdana" w:hAnsi="Verdana" w:cs="Arial"/>
          <w:b/>
          <w:bCs/>
          <w:sz w:val="20"/>
          <w:szCs w:val="20"/>
        </w:rPr>
        <w:t xml:space="preserve"> трлн долл</w:t>
      </w:r>
      <w:r w:rsidR="003611F0">
        <w:rPr>
          <w:rFonts w:ascii="Verdana" w:hAnsi="Verdana" w:cs="Arial"/>
          <w:b/>
          <w:bCs/>
          <w:sz w:val="20"/>
          <w:szCs w:val="20"/>
        </w:rPr>
        <w:t>аров</w:t>
      </w:r>
      <w:r w:rsidR="0093554F">
        <w:rPr>
          <w:rFonts w:ascii="Verdana" w:hAnsi="Verdana" w:cs="Arial"/>
          <w:b/>
          <w:bCs/>
          <w:sz w:val="20"/>
          <w:szCs w:val="20"/>
        </w:rPr>
        <w:t>, увеличившись в 1,5 раза с 2019 г</w:t>
      </w:r>
      <w:r w:rsidR="003611F0">
        <w:rPr>
          <w:rFonts w:ascii="Verdana" w:hAnsi="Verdana" w:cs="Arial"/>
          <w:b/>
          <w:bCs/>
          <w:sz w:val="20"/>
          <w:szCs w:val="20"/>
        </w:rPr>
        <w:t>ода</w:t>
      </w:r>
      <w:r w:rsidR="0093554F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077B292B" w14:textId="77777777" w:rsidR="004D67D8" w:rsidRPr="004D67D8" w:rsidRDefault="00BF4E45" w:rsidP="004D67D8">
      <w:pPr>
        <w:spacing w:after="12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4D67D8">
        <w:rPr>
          <w:rFonts w:ascii="Verdana" w:hAnsi="Verdana" w:cs="Arial"/>
          <w:i/>
          <w:sz w:val="20"/>
          <w:szCs w:val="20"/>
        </w:rPr>
        <w:t xml:space="preserve">Евразийский банк развития опубликовал Макроэкономический прогноз для </w:t>
      </w:r>
      <w:r w:rsidR="003611F0">
        <w:rPr>
          <w:rFonts w:ascii="Verdana" w:hAnsi="Verdana" w:cs="Arial"/>
          <w:i/>
          <w:sz w:val="20"/>
          <w:szCs w:val="20"/>
        </w:rPr>
        <w:t>7</w:t>
      </w:r>
      <w:r w:rsidR="003611F0" w:rsidRPr="004D67D8">
        <w:rPr>
          <w:rFonts w:ascii="Verdana" w:hAnsi="Verdana" w:cs="Arial"/>
          <w:i/>
          <w:sz w:val="20"/>
          <w:szCs w:val="20"/>
        </w:rPr>
        <w:t xml:space="preserve"> </w:t>
      </w:r>
      <w:r w:rsidRPr="004D67D8">
        <w:rPr>
          <w:rFonts w:ascii="Verdana" w:hAnsi="Verdana" w:cs="Arial"/>
          <w:i/>
          <w:sz w:val="20"/>
          <w:szCs w:val="20"/>
        </w:rPr>
        <w:t>государств</w:t>
      </w:r>
      <w:r w:rsidR="00A16A2D">
        <w:rPr>
          <w:rFonts w:ascii="Verdana" w:hAnsi="Verdana" w:cs="Arial"/>
          <w:i/>
          <w:sz w:val="20"/>
          <w:szCs w:val="20"/>
        </w:rPr>
        <w:t>-</w:t>
      </w:r>
      <w:r w:rsidRPr="004D67D8">
        <w:rPr>
          <w:rFonts w:ascii="Verdana" w:hAnsi="Verdana" w:cs="Arial"/>
          <w:i/>
          <w:sz w:val="20"/>
          <w:szCs w:val="20"/>
        </w:rPr>
        <w:t>участников.</w:t>
      </w:r>
      <w:r w:rsidR="00516796" w:rsidRPr="00516796">
        <w:t xml:space="preserve"> </w:t>
      </w:r>
      <w:r w:rsidR="00516796" w:rsidRPr="00516796">
        <w:rPr>
          <w:rFonts w:ascii="Verdana" w:hAnsi="Verdana" w:cs="Arial"/>
          <w:i/>
          <w:sz w:val="20"/>
          <w:szCs w:val="20"/>
        </w:rPr>
        <w:t>Узбекистан стал седьмым участником</w:t>
      </w:r>
      <w:r w:rsidR="00516796">
        <w:rPr>
          <w:rFonts w:ascii="Verdana" w:hAnsi="Verdana" w:cs="Arial"/>
          <w:i/>
          <w:sz w:val="20"/>
          <w:szCs w:val="20"/>
        </w:rPr>
        <w:t xml:space="preserve"> Банка</w:t>
      </w:r>
      <w:r w:rsidR="00516796" w:rsidRPr="00516796">
        <w:rPr>
          <w:rFonts w:ascii="Verdana" w:hAnsi="Verdana" w:cs="Arial"/>
          <w:i/>
          <w:sz w:val="20"/>
          <w:szCs w:val="20"/>
        </w:rPr>
        <w:t xml:space="preserve">. </w:t>
      </w:r>
      <w:r w:rsidRPr="004D67D8">
        <w:rPr>
          <w:rFonts w:ascii="Verdana" w:hAnsi="Verdana" w:cs="Arial"/>
          <w:i/>
          <w:sz w:val="20"/>
          <w:szCs w:val="20"/>
        </w:rPr>
        <w:t>Аналитики Банка ожидают</w:t>
      </w:r>
      <w:r w:rsidR="00BB3582" w:rsidRPr="00BB3582">
        <w:t xml:space="preserve"> </w:t>
      </w:r>
      <w:r w:rsidR="00BB3582" w:rsidRPr="00BB3582">
        <w:rPr>
          <w:rFonts w:ascii="Verdana" w:hAnsi="Verdana" w:cs="Arial"/>
          <w:i/>
          <w:sz w:val="20"/>
          <w:szCs w:val="20"/>
        </w:rPr>
        <w:t>сохранени</w:t>
      </w:r>
      <w:r w:rsidR="007774DD">
        <w:rPr>
          <w:rFonts w:ascii="Verdana" w:hAnsi="Verdana" w:cs="Arial"/>
          <w:i/>
          <w:sz w:val="20"/>
          <w:szCs w:val="20"/>
        </w:rPr>
        <w:t>е</w:t>
      </w:r>
      <w:r w:rsidR="00BB3582" w:rsidRPr="00BB3582">
        <w:rPr>
          <w:rFonts w:ascii="Verdana" w:hAnsi="Verdana" w:cs="Arial"/>
          <w:i/>
          <w:sz w:val="20"/>
          <w:szCs w:val="20"/>
        </w:rPr>
        <w:t xml:space="preserve"> высокой экономической активности в странах региона</w:t>
      </w:r>
      <w:r w:rsidR="00FF6082">
        <w:rPr>
          <w:rFonts w:ascii="Verdana" w:hAnsi="Verdana" w:cs="Arial"/>
          <w:i/>
          <w:sz w:val="20"/>
          <w:szCs w:val="20"/>
        </w:rPr>
        <w:t xml:space="preserve"> в 2025 г</w:t>
      </w:r>
      <w:r w:rsidR="003611F0">
        <w:rPr>
          <w:rFonts w:ascii="Verdana" w:hAnsi="Verdana" w:cs="Arial"/>
          <w:i/>
          <w:sz w:val="20"/>
          <w:szCs w:val="20"/>
        </w:rPr>
        <w:t>оду</w:t>
      </w:r>
      <w:r w:rsidR="00BB3582">
        <w:rPr>
          <w:rFonts w:ascii="Verdana" w:hAnsi="Verdana" w:cs="Arial"/>
          <w:i/>
          <w:sz w:val="20"/>
          <w:szCs w:val="20"/>
        </w:rPr>
        <w:t xml:space="preserve">. </w:t>
      </w:r>
      <w:r w:rsidR="00C863E3">
        <w:rPr>
          <w:rFonts w:ascii="Verdana" w:hAnsi="Verdana" w:cs="Arial"/>
          <w:i/>
          <w:sz w:val="20"/>
          <w:szCs w:val="20"/>
        </w:rPr>
        <w:t>Прогнозируемый п</w:t>
      </w:r>
      <w:r w:rsidRPr="004D67D8">
        <w:rPr>
          <w:rFonts w:ascii="Verdana" w:hAnsi="Verdana" w:cs="Arial"/>
          <w:i/>
          <w:sz w:val="20"/>
          <w:szCs w:val="20"/>
        </w:rPr>
        <w:t xml:space="preserve">рирост ВВП </w:t>
      </w:r>
      <w:r w:rsidR="008A280E">
        <w:rPr>
          <w:rFonts w:ascii="Verdana" w:hAnsi="Verdana" w:cs="Arial"/>
          <w:i/>
          <w:sz w:val="20"/>
          <w:szCs w:val="20"/>
        </w:rPr>
        <w:t>в 202</w:t>
      </w:r>
      <w:r w:rsidR="00D216D6">
        <w:rPr>
          <w:rFonts w:ascii="Verdana" w:hAnsi="Verdana" w:cs="Arial"/>
          <w:i/>
          <w:sz w:val="20"/>
          <w:szCs w:val="20"/>
        </w:rPr>
        <w:t>5</w:t>
      </w:r>
      <w:r w:rsidR="008A280E">
        <w:rPr>
          <w:rFonts w:ascii="Verdana" w:hAnsi="Verdana" w:cs="Arial"/>
          <w:i/>
          <w:sz w:val="20"/>
          <w:szCs w:val="20"/>
        </w:rPr>
        <w:t xml:space="preserve"> г</w:t>
      </w:r>
      <w:r w:rsidR="00C863E3">
        <w:rPr>
          <w:rFonts w:ascii="Verdana" w:hAnsi="Verdana" w:cs="Arial"/>
          <w:i/>
          <w:sz w:val="20"/>
          <w:szCs w:val="20"/>
        </w:rPr>
        <w:t>оду</w:t>
      </w:r>
      <w:r w:rsidRPr="004D67D8">
        <w:rPr>
          <w:rFonts w:ascii="Verdana" w:hAnsi="Verdana" w:cs="Arial"/>
          <w:i/>
          <w:sz w:val="20"/>
          <w:szCs w:val="20"/>
        </w:rPr>
        <w:t xml:space="preserve">: в Армении </w:t>
      </w:r>
      <w:r w:rsidR="00C863E3">
        <w:rPr>
          <w:rFonts w:ascii="Verdana" w:hAnsi="Verdana" w:cs="Arial"/>
          <w:i/>
          <w:sz w:val="20"/>
          <w:szCs w:val="20"/>
        </w:rPr>
        <w:t>—</w:t>
      </w:r>
      <w:r w:rsidR="00A16A2D" w:rsidRPr="004D67D8">
        <w:rPr>
          <w:rFonts w:ascii="Verdana" w:hAnsi="Verdana" w:cs="Arial"/>
          <w:i/>
          <w:sz w:val="20"/>
          <w:szCs w:val="20"/>
        </w:rPr>
        <w:t xml:space="preserve"> </w:t>
      </w:r>
      <w:r w:rsidRPr="004D67D8">
        <w:rPr>
          <w:rFonts w:ascii="Verdana" w:hAnsi="Verdana" w:cs="Arial"/>
          <w:i/>
          <w:sz w:val="20"/>
          <w:szCs w:val="20"/>
        </w:rPr>
        <w:t>5,</w:t>
      </w:r>
      <w:r w:rsidR="009454AC">
        <w:rPr>
          <w:rFonts w:ascii="Verdana" w:hAnsi="Verdana" w:cs="Arial"/>
          <w:i/>
          <w:sz w:val="20"/>
          <w:szCs w:val="20"/>
        </w:rPr>
        <w:t>5</w:t>
      </w:r>
      <w:r w:rsidRPr="004D67D8">
        <w:rPr>
          <w:rFonts w:ascii="Verdana" w:hAnsi="Verdana" w:cs="Arial"/>
          <w:i/>
          <w:sz w:val="20"/>
          <w:szCs w:val="20"/>
        </w:rPr>
        <w:t xml:space="preserve">%, Беларуси </w:t>
      </w:r>
      <w:r w:rsidR="00C863E3">
        <w:rPr>
          <w:rFonts w:ascii="Verdana" w:hAnsi="Verdana" w:cs="Arial"/>
          <w:i/>
          <w:sz w:val="20"/>
          <w:szCs w:val="20"/>
        </w:rPr>
        <w:t>—</w:t>
      </w:r>
      <w:r w:rsidR="00A16A2D" w:rsidRPr="004D67D8">
        <w:rPr>
          <w:rFonts w:ascii="Verdana" w:hAnsi="Verdana" w:cs="Arial"/>
          <w:i/>
          <w:sz w:val="20"/>
          <w:szCs w:val="20"/>
        </w:rPr>
        <w:t xml:space="preserve"> </w:t>
      </w:r>
      <w:r w:rsidR="00440E47">
        <w:rPr>
          <w:rFonts w:ascii="Verdana" w:hAnsi="Verdana" w:cs="Arial"/>
          <w:i/>
          <w:sz w:val="20"/>
          <w:szCs w:val="20"/>
        </w:rPr>
        <w:t>3</w:t>
      </w:r>
      <w:r w:rsidR="005F5CB6">
        <w:rPr>
          <w:rFonts w:ascii="Verdana" w:hAnsi="Verdana" w:cs="Arial"/>
          <w:i/>
          <w:sz w:val="20"/>
          <w:szCs w:val="20"/>
        </w:rPr>
        <w:t>,</w:t>
      </w:r>
      <w:r w:rsidR="00440E47">
        <w:rPr>
          <w:rFonts w:ascii="Verdana" w:hAnsi="Verdana" w:cs="Arial"/>
          <w:i/>
          <w:sz w:val="20"/>
          <w:szCs w:val="20"/>
        </w:rPr>
        <w:t>0</w:t>
      </w:r>
      <w:r w:rsidRPr="004D67D8">
        <w:rPr>
          <w:rFonts w:ascii="Verdana" w:hAnsi="Verdana" w:cs="Arial"/>
          <w:i/>
          <w:sz w:val="20"/>
          <w:szCs w:val="20"/>
        </w:rPr>
        <w:t xml:space="preserve">%, Казахстане </w:t>
      </w:r>
      <w:r w:rsidR="00C863E3">
        <w:rPr>
          <w:rFonts w:ascii="Verdana" w:hAnsi="Verdana" w:cs="Arial"/>
          <w:i/>
          <w:sz w:val="20"/>
          <w:szCs w:val="20"/>
        </w:rPr>
        <w:t>—</w:t>
      </w:r>
      <w:r w:rsidR="00A16A2D" w:rsidRPr="004D67D8">
        <w:rPr>
          <w:rFonts w:ascii="Verdana" w:hAnsi="Verdana" w:cs="Arial"/>
          <w:i/>
          <w:sz w:val="20"/>
          <w:szCs w:val="20"/>
        </w:rPr>
        <w:t xml:space="preserve"> </w:t>
      </w:r>
      <w:r w:rsidR="00616C69">
        <w:rPr>
          <w:rFonts w:ascii="Verdana" w:hAnsi="Verdana" w:cs="Arial"/>
          <w:i/>
          <w:sz w:val="20"/>
          <w:szCs w:val="20"/>
        </w:rPr>
        <w:t>5</w:t>
      </w:r>
      <w:r w:rsidR="005F5CB6">
        <w:rPr>
          <w:rFonts w:ascii="Verdana" w:hAnsi="Verdana" w:cs="Arial"/>
          <w:i/>
          <w:sz w:val="20"/>
          <w:szCs w:val="20"/>
        </w:rPr>
        <w:t>,</w:t>
      </w:r>
      <w:r w:rsidR="00616C69">
        <w:rPr>
          <w:rFonts w:ascii="Verdana" w:hAnsi="Verdana" w:cs="Arial"/>
          <w:i/>
          <w:sz w:val="20"/>
          <w:szCs w:val="20"/>
        </w:rPr>
        <w:t>5</w:t>
      </w:r>
      <w:r w:rsidRPr="004D67D8">
        <w:rPr>
          <w:rFonts w:ascii="Verdana" w:hAnsi="Verdana" w:cs="Arial"/>
          <w:i/>
          <w:sz w:val="20"/>
          <w:szCs w:val="20"/>
        </w:rPr>
        <w:t xml:space="preserve">%, Кыргызстане </w:t>
      </w:r>
      <w:r w:rsidR="00C863E3">
        <w:rPr>
          <w:rFonts w:ascii="Verdana" w:hAnsi="Verdana" w:cs="Arial"/>
          <w:i/>
          <w:sz w:val="20"/>
          <w:szCs w:val="20"/>
        </w:rPr>
        <w:t>—</w:t>
      </w:r>
      <w:r w:rsidR="00A16A2D" w:rsidRPr="004D67D8">
        <w:rPr>
          <w:rFonts w:ascii="Verdana" w:hAnsi="Verdana" w:cs="Arial"/>
          <w:i/>
          <w:sz w:val="20"/>
          <w:szCs w:val="20"/>
        </w:rPr>
        <w:t xml:space="preserve"> </w:t>
      </w:r>
      <w:r w:rsidR="00440E47">
        <w:rPr>
          <w:rFonts w:ascii="Verdana" w:hAnsi="Verdana" w:cs="Arial"/>
          <w:i/>
          <w:sz w:val="20"/>
          <w:szCs w:val="20"/>
        </w:rPr>
        <w:t>10</w:t>
      </w:r>
      <w:r w:rsidRPr="004D67D8">
        <w:rPr>
          <w:rFonts w:ascii="Verdana" w:hAnsi="Verdana" w:cs="Arial"/>
          <w:i/>
          <w:sz w:val="20"/>
          <w:szCs w:val="20"/>
        </w:rPr>
        <w:t>,</w:t>
      </w:r>
      <w:r w:rsidR="00440E47">
        <w:rPr>
          <w:rFonts w:ascii="Verdana" w:hAnsi="Verdana" w:cs="Arial"/>
          <w:i/>
          <w:sz w:val="20"/>
          <w:szCs w:val="20"/>
        </w:rPr>
        <w:t>3</w:t>
      </w:r>
      <w:r w:rsidRPr="004D67D8">
        <w:rPr>
          <w:rFonts w:ascii="Verdana" w:hAnsi="Verdana" w:cs="Arial"/>
          <w:i/>
          <w:sz w:val="20"/>
          <w:szCs w:val="20"/>
        </w:rPr>
        <w:t xml:space="preserve">%, России </w:t>
      </w:r>
      <w:r w:rsidR="00C863E3">
        <w:rPr>
          <w:rFonts w:ascii="Verdana" w:hAnsi="Verdana" w:cs="Arial"/>
          <w:i/>
          <w:sz w:val="20"/>
          <w:szCs w:val="20"/>
        </w:rPr>
        <w:t>—</w:t>
      </w:r>
      <w:r w:rsidR="00A16A2D" w:rsidRPr="004D67D8">
        <w:rPr>
          <w:rFonts w:ascii="Verdana" w:hAnsi="Verdana" w:cs="Arial"/>
          <w:i/>
          <w:sz w:val="20"/>
          <w:szCs w:val="20"/>
        </w:rPr>
        <w:t xml:space="preserve"> </w:t>
      </w:r>
      <w:r w:rsidR="00616C69">
        <w:rPr>
          <w:rFonts w:ascii="Verdana" w:hAnsi="Verdana" w:cs="Arial"/>
          <w:i/>
          <w:sz w:val="20"/>
          <w:szCs w:val="20"/>
        </w:rPr>
        <w:t>2</w:t>
      </w:r>
      <w:r w:rsidRPr="004D67D8">
        <w:rPr>
          <w:rFonts w:ascii="Verdana" w:hAnsi="Verdana" w:cs="Arial"/>
          <w:i/>
          <w:sz w:val="20"/>
          <w:szCs w:val="20"/>
        </w:rPr>
        <w:t>,</w:t>
      </w:r>
      <w:r w:rsidR="00440E47">
        <w:rPr>
          <w:rFonts w:ascii="Verdana" w:hAnsi="Verdana" w:cs="Arial"/>
          <w:i/>
          <w:sz w:val="20"/>
          <w:szCs w:val="20"/>
        </w:rPr>
        <w:t>0</w:t>
      </w:r>
      <w:r w:rsidRPr="004D67D8">
        <w:rPr>
          <w:rFonts w:ascii="Verdana" w:hAnsi="Verdana" w:cs="Arial"/>
          <w:i/>
          <w:sz w:val="20"/>
          <w:szCs w:val="20"/>
        </w:rPr>
        <w:t>%</w:t>
      </w:r>
      <w:r w:rsidR="00721C35">
        <w:rPr>
          <w:rFonts w:ascii="Verdana" w:hAnsi="Verdana" w:cs="Arial"/>
          <w:i/>
          <w:sz w:val="20"/>
          <w:szCs w:val="20"/>
        </w:rPr>
        <w:t xml:space="preserve">, </w:t>
      </w:r>
      <w:r w:rsidRPr="004D67D8">
        <w:rPr>
          <w:rFonts w:ascii="Verdana" w:hAnsi="Verdana" w:cs="Arial"/>
          <w:i/>
          <w:sz w:val="20"/>
          <w:szCs w:val="20"/>
        </w:rPr>
        <w:t xml:space="preserve">Таджикистане </w:t>
      </w:r>
      <w:r w:rsidR="00C863E3">
        <w:rPr>
          <w:rFonts w:ascii="Verdana" w:hAnsi="Verdana" w:cs="Arial"/>
          <w:i/>
          <w:sz w:val="20"/>
          <w:szCs w:val="20"/>
        </w:rPr>
        <w:t>—</w:t>
      </w:r>
      <w:r w:rsidR="00A16A2D">
        <w:rPr>
          <w:rFonts w:ascii="Verdana" w:hAnsi="Verdana" w:cs="Arial"/>
          <w:i/>
          <w:sz w:val="20"/>
          <w:szCs w:val="20"/>
        </w:rPr>
        <w:t xml:space="preserve"> </w:t>
      </w:r>
      <w:r w:rsidR="005F5CB6">
        <w:rPr>
          <w:rFonts w:ascii="Verdana" w:hAnsi="Verdana" w:cs="Arial"/>
          <w:i/>
          <w:sz w:val="20"/>
          <w:szCs w:val="20"/>
        </w:rPr>
        <w:t>8</w:t>
      </w:r>
      <w:r w:rsidRPr="004D67D8">
        <w:rPr>
          <w:rFonts w:ascii="Verdana" w:hAnsi="Verdana" w:cs="Arial"/>
          <w:i/>
          <w:sz w:val="20"/>
          <w:szCs w:val="20"/>
        </w:rPr>
        <w:t>,</w:t>
      </w:r>
      <w:r w:rsidR="005F5CB6">
        <w:rPr>
          <w:rFonts w:ascii="Verdana" w:hAnsi="Verdana" w:cs="Arial"/>
          <w:i/>
          <w:sz w:val="20"/>
          <w:szCs w:val="20"/>
        </w:rPr>
        <w:t>4</w:t>
      </w:r>
      <w:r w:rsidR="00721C35" w:rsidRPr="004D67D8">
        <w:rPr>
          <w:rFonts w:ascii="Verdana" w:hAnsi="Verdana" w:cs="Arial"/>
          <w:i/>
          <w:sz w:val="20"/>
          <w:szCs w:val="20"/>
        </w:rPr>
        <w:t>%</w:t>
      </w:r>
      <w:r w:rsidR="00721C35">
        <w:rPr>
          <w:rFonts w:ascii="Verdana" w:hAnsi="Verdana" w:cs="Arial"/>
          <w:i/>
          <w:sz w:val="20"/>
          <w:szCs w:val="20"/>
        </w:rPr>
        <w:t xml:space="preserve"> и </w:t>
      </w:r>
      <w:r w:rsidR="00440E47">
        <w:rPr>
          <w:rFonts w:ascii="Verdana" w:hAnsi="Verdana" w:cs="Arial"/>
          <w:i/>
          <w:sz w:val="20"/>
          <w:szCs w:val="20"/>
        </w:rPr>
        <w:t xml:space="preserve">в Узбекистане </w:t>
      </w:r>
      <w:r w:rsidR="00C863E3">
        <w:rPr>
          <w:rFonts w:ascii="Verdana" w:hAnsi="Verdana" w:cs="Arial"/>
          <w:i/>
          <w:sz w:val="20"/>
          <w:szCs w:val="20"/>
        </w:rPr>
        <w:t>—</w:t>
      </w:r>
      <w:r w:rsidR="00440E47">
        <w:rPr>
          <w:rFonts w:ascii="Verdana" w:hAnsi="Verdana" w:cs="Arial"/>
          <w:i/>
          <w:sz w:val="20"/>
          <w:szCs w:val="20"/>
        </w:rPr>
        <w:t xml:space="preserve"> 6,5%</w:t>
      </w:r>
      <w:r w:rsidRPr="004D67D8">
        <w:rPr>
          <w:rFonts w:ascii="Verdana" w:hAnsi="Verdana" w:cs="Arial"/>
          <w:i/>
          <w:sz w:val="20"/>
          <w:szCs w:val="20"/>
        </w:rPr>
        <w:t>.</w:t>
      </w:r>
    </w:p>
    <w:p w14:paraId="077B292C" w14:textId="77777777" w:rsidR="005B2969" w:rsidRDefault="00BF4E45" w:rsidP="00BB3582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7F5A7F">
        <w:rPr>
          <w:rFonts w:ascii="Verdana" w:hAnsi="Verdana" w:cs="Arial"/>
          <w:b/>
          <w:sz w:val="20"/>
          <w:szCs w:val="20"/>
        </w:rPr>
        <w:t xml:space="preserve">Алматы, </w:t>
      </w:r>
      <w:r w:rsidR="00721C35" w:rsidRPr="007F5A7F">
        <w:rPr>
          <w:rFonts w:ascii="Verdana" w:hAnsi="Verdana" w:cs="Arial"/>
          <w:b/>
          <w:sz w:val="20"/>
          <w:szCs w:val="20"/>
        </w:rPr>
        <w:t xml:space="preserve">24 </w:t>
      </w:r>
      <w:r w:rsidR="00440E47" w:rsidRPr="007F5A7F">
        <w:rPr>
          <w:rFonts w:ascii="Verdana" w:hAnsi="Verdana" w:cs="Arial"/>
          <w:b/>
          <w:sz w:val="20"/>
          <w:szCs w:val="20"/>
        </w:rPr>
        <w:t>июня</w:t>
      </w:r>
      <w:r w:rsidR="00D216D6" w:rsidRPr="007F5A7F">
        <w:rPr>
          <w:rFonts w:ascii="Verdana" w:hAnsi="Verdana" w:cs="Arial"/>
          <w:b/>
          <w:sz w:val="20"/>
          <w:szCs w:val="20"/>
        </w:rPr>
        <w:t xml:space="preserve"> 202</w:t>
      </w:r>
      <w:r w:rsidR="00440E47" w:rsidRPr="007F5A7F">
        <w:rPr>
          <w:rFonts w:ascii="Verdana" w:hAnsi="Verdana" w:cs="Arial"/>
          <w:b/>
          <w:sz w:val="20"/>
          <w:szCs w:val="20"/>
        </w:rPr>
        <w:t>5</w:t>
      </w:r>
      <w:r w:rsidRPr="007F5A7F">
        <w:rPr>
          <w:rFonts w:ascii="Verdana" w:hAnsi="Verdana" w:cs="Arial"/>
          <w:b/>
          <w:sz w:val="20"/>
          <w:szCs w:val="20"/>
        </w:rPr>
        <w:t xml:space="preserve"> года.</w:t>
      </w:r>
      <w:r w:rsidRPr="004D67D8">
        <w:rPr>
          <w:rFonts w:ascii="Verdana" w:hAnsi="Verdana" w:cs="Arial"/>
          <w:sz w:val="20"/>
          <w:szCs w:val="20"/>
        </w:rPr>
        <w:t xml:space="preserve"> Евразийский банк развития (ЕАБР) опубликовал Макроэкономический прогноз</w:t>
      </w:r>
      <w:r w:rsidR="0082228C">
        <w:rPr>
          <w:rFonts w:ascii="Verdana" w:hAnsi="Verdana" w:cs="Arial"/>
          <w:sz w:val="20"/>
          <w:szCs w:val="20"/>
        </w:rPr>
        <w:t xml:space="preserve"> для </w:t>
      </w:r>
      <w:r w:rsidR="00B14E68">
        <w:rPr>
          <w:rFonts w:ascii="Verdana" w:hAnsi="Verdana" w:cs="Arial"/>
          <w:sz w:val="20"/>
          <w:szCs w:val="20"/>
        </w:rPr>
        <w:t xml:space="preserve">7 </w:t>
      </w:r>
      <w:r w:rsidR="0082228C">
        <w:rPr>
          <w:rFonts w:ascii="Verdana" w:hAnsi="Verdana" w:cs="Arial"/>
          <w:sz w:val="20"/>
          <w:szCs w:val="20"/>
        </w:rPr>
        <w:t xml:space="preserve">стран. </w:t>
      </w:r>
      <w:r w:rsidRPr="004D67D8">
        <w:rPr>
          <w:rFonts w:ascii="Verdana" w:hAnsi="Verdana" w:cs="Arial"/>
          <w:sz w:val="20"/>
          <w:szCs w:val="20"/>
        </w:rPr>
        <w:t xml:space="preserve">В </w:t>
      </w:r>
      <w:r w:rsidRPr="00D777A3">
        <w:rPr>
          <w:rFonts w:ascii="Verdana" w:hAnsi="Verdana"/>
          <w:sz w:val="20"/>
          <w:szCs w:val="20"/>
        </w:rPr>
        <w:t xml:space="preserve">аналитическом материале </w:t>
      </w:r>
      <w:r w:rsidR="009B2956">
        <w:rPr>
          <w:rFonts w:ascii="Verdana" w:hAnsi="Verdana"/>
          <w:sz w:val="20"/>
          <w:szCs w:val="20"/>
        </w:rPr>
        <w:t>представлен анализ</w:t>
      </w:r>
      <w:r w:rsidRPr="00D777A3">
        <w:rPr>
          <w:rFonts w:ascii="Verdana" w:hAnsi="Verdana"/>
          <w:sz w:val="20"/>
          <w:szCs w:val="20"/>
        </w:rPr>
        <w:t xml:space="preserve"> экономического развития государств </w:t>
      </w:r>
      <w:r w:rsidR="00B14E68" w:rsidRPr="007A3CD0">
        <w:rPr>
          <w:rFonts w:ascii="Verdana" w:hAnsi="Verdana" w:cs="Arial"/>
          <w:sz w:val="20"/>
          <w:szCs w:val="20"/>
        </w:rPr>
        <w:t>—</w:t>
      </w:r>
      <w:r w:rsidRPr="00D777A3">
        <w:rPr>
          <w:rFonts w:ascii="Verdana" w:hAnsi="Verdana"/>
          <w:sz w:val="20"/>
          <w:szCs w:val="20"/>
        </w:rPr>
        <w:t xml:space="preserve"> участников Банка в начале 2025 г</w:t>
      </w:r>
      <w:r w:rsidR="00B14E68">
        <w:rPr>
          <w:rFonts w:ascii="Verdana" w:hAnsi="Verdana"/>
          <w:sz w:val="20"/>
          <w:szCs w:val="20"/>
        </w:rPr>
        <w:t>ода</w:t>
      </w:r>
      <w:r w:rsidRPr="00D777A3">
        <w:rPr>
          <w:rFonts w:ascii="Verdana" w:hAnsi="Verdana"/>
          <w:sz w:val="20"/>
          <w:szCs w:val="20"/>
        </w:rPr>
        <w:t xml:space="preserve"> и прогноз основных макроэкономических показателей </w:t>
      </w:r>
      <w:r w:rsidR="009B2956">
        <w:rPr>
          <w:rFonts w:ascii="Verdana" w:hAnsi="Verdana"/>
          <w:sz w:val="20"/>
          <w:szCs w:val="20"/>
        </w:rPr>
        <w:t>до конца</w:t>
      </w:r>
      <w:r w:rsidRPr="00D777A3">
        <w:rPr>
          <w:rFonts w:ascii="Verdana" w:hAnsi="Verdana"/>
          <w:sz w:val="20"/>
          <w:szCs w:val="20"/>
        </w:rPr>
        <w:t xml:space="preserve"> 2025 г</w:t>
      </w:r>
      <w:r w:rsidR="00B14E68">
        <w:rPr>
          <w:rFonts w:ascii="Verdana" w:hAnsi="Verdana"/>
          <w:sz w:val="20"/>
          <w:szCs w:val="20"/>
        </w:rPr>
        <w:t>ода</w:t>
      </w:r>
      <w:r w:rsidR="009B2956">
        <w:rPr>
          <w:rFonts w:ascii="Verdana" w:hAnsi="Verdana"/>
          <w:sz w:val="20"/>
          <w:szCs w:val="20"/>
        </w:rPr>
        <w:t xml:space="preserve"> и на</w:t>
      </w:r>
      <w:r w:rsidRPr="00D777A3">
        <w:rPr>
          <w:rFonts w:ascii="Verdana" w:hAnsi="Verdana"/>
          <w:sz w:val="20"/>
          <w:szCs w:val="20"/>
        </w:rPr>
        <w:t xml:space="preserve"> 2026–2027 г</w:t>
      </w:r>
      <w:r w:rsidR="00B14E68">
        <w:rPr>
          <w:rFonts w:ascii="Verdana" w:hAnsi="Verdana"/>
          <w:sz w:val="20"/>
          <w:szCs w:val="20"/>
        </w:rPr>
        <w:t>оды</w:t>
      </w:r>
      <w:r w:rsidRPr="00D777A3">
        <w:rPr>
          <w:rFonts w:ascii="Verdana" w:hAnsi="Verdana"/>
          <w:sz w:val="20"/>
          <w:szCs w:val="20"/>
        </w:rPr>
        <w:t>.</w:t>
      </w:r>
    </w:p>
    <w:p w14:paraId="077B292D" w14:textId="77777777" w:rsidR="004D67D8" w:rsidRPr="00BB3582" w:rsidRDefault="00BF4E45" w:rsidP="00BB3582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</w:t>
      </w:r>
      <w:r w:rsidR="0082228C">
        <w:rPr>
          <w:rFonts w:ascii="Verdana" w:hAnsi="Verdana"/>
          <w:sz w:val="20"/>
          <w:szCs w:val="20"/>
        </w:rPr>
        <w:t>первые</w:t>
      </w:r>
      <w:r w:rsidR="0082228C" w:rsidRPr="00D777A3">
        <w:rPr>
          <w:rFonts w:ascii="Verdana" w:hAnsi="Verdana"/>
          <w:sz w:val="20"/>
          <w:szCs w:val="20"/>
        </w:rPr>
        <w:t xml:space="preserve"> </w:t>
      </w:r>
      <w:r w:rsidR="0082228C" w:rsidRPr="0082228C">
        <w:rPr>
          <w:rFonts w:ascii="Verdana" w:hAnsi="Verdana"/>
          <w:sz w:val="20"/>
          <w:szCs w:val="20"/>
        </w:rPr>
        <w:t xml:space="preserve">представлен </w:t>
      </w:r>
      <w:r w:rsidR="008110EB">
        <w:rPr>
          <w:rFonts w:ascii="Verdana" w:hAnsi="Verdana"/>
          <w:sz w:val="20"/>
          <w:szCs w:val="20"/>
        </w:rPr>
        <w:t>М</w:t>
      </w:r>
      <w:r w:rsidR="0082228C" w:rsidRPr="0082228C">
        <w:rPr>
          <w:rFonts w:ascii="Verdana" w:hAnsi="Verdana"/>
          <w:sz w:val="20"/>
          <w:szCs w:val="20"/>
        </w:rPr>
        <w:t xml:space="preserve">акроэкономический прогноз </w:t>
      </w:r>
      <w:r w:rsidR="00FB4503">
        <w:rPr>
          <w:rFonts w:ascii="Verdana" w:hAnsi="Verdana"/>
          <w:sz w:val="20"/>
          <w:szCs w:val="20"/>
        </w:rPr>
        <w:t>для</w:t>
      </w:r>
      <w:r w:rsidR="00FB4503" w:rsidRPr="0082228C">
        <w:rPr>
          <w:rFonts w:ascii="Verdana" w:hAnsi="Verdana"/>
          <w:sz w:val="20"/>
          <w:szCs w:val="20"/>
        </w:rPr>
        <w:t xml:space="preserve"> </w:t>
      </w:r>
      <w:r w:rsidR="0082228C" w:rsidRPr="0082228C">
        <w:rPr>
          <w:rFonts w:ascii="Verdana" w:hAnsi="Verdana"/>
          <w:sz w:val="20"/>
          <w:szCs w:val="20"/>
        </w:rPr>
        <w:t>Республик</w:t>
      </w:r>
      <w:r w:rsidR="00FB4503">
        <w:rPr>
          <w:rFonts w:ascii="Verdana" w:hAnsi="Verdana"/>
          <w:sz w:val="20"/>
          <w:szCs w:val="20"/>
        </w:rPr>
        <w:t>и</w:t>
      </w:r>
      <w:r w:rsidR="0082228C" w:rsidRPr="0082228C">
        <w:rPr>
          <w:rFonts w:ascii="Verdana" w:hAnsi="Verdana"/>
          <w:sz w:val="20"/>
          <w:szCs w:val="20"/>
        </w:rPr>
        <w:t xml:space="preserve"> Узбекистан</w:t>
      </w:r>
      <w:r w:rsidR="00721C35">
        <w:rPr>
          <w:rFonts w:ascii="Verdana" w:hAnsi="Verdana"/>
          <w:sz w:val="20"/>
          <w:szCs w:val="20"/>
        </w:rPr>
        <w:t xml:space="preserve">. </w:t>
      </w:r>
      <w:r w:rsidR="00721C35" w:rsidRPr="00254861">
        <w:rPr>
          <w:rFonts w:ascii="Verdana" w:hAnsi="Verdana" w:cs="Arial"/>
          <w:sz w:val="20"/>
          <w:szCs w:val="20"/>
        </w:rPr>
        <w:t xml:space="preserve">К моменту </w:t>
      </w:r>
      <w:r w:rsidR="00721C35" w:rsidRPr="00354BA5">
        <w:rPr>
          <w:rFonts w:ascii="Verdana" w:hAnsi="Verdana" w:cs="Arial"/>
          <w:sz w:val="20"/>
          <w:szCs w:val="20"/>
        </w:rPr>
        <w:t xml:space="preserve">вступления </w:t>
      </w:r>
      <w:r w:rsidR="00721C35" w:rsidRPr="00254861">
        <w:rPr>
          <w:rFonts w:ascii="Verdana" w:hAnsi="Verdana" w:cs="Arial"/>
          <w:sz w:val="20"/>
          <w:szCs w:val="20"/>
        </w:rPr>
        <w:t xml:space="preserve">Узбекистана в число стран — участниц ЕАБР Банк разработал и внедрил современный </w:t>
      </w:r>
      <w:hyperlink r:id="rId5" w:history="1">
        <w:r w:rsidR="00721C35" w:rsidRPr="00254861">
          <w:rPr>
            <w:rStyle w:val="a4"/>
            <w:rFonts w:ascii="Verdana" w:hAnsi="Verdana" w:cs="Arial"/>
            <w:sz w:val="20"/>
            <w:szCs w:val="20"/>
          </w:rPr>
          <w:t>модельный инструментарий</w:t>
        </w:r>
      </w:hyperlink>
      <w:r w:rsidR="00721C35" w:rsidRPr="00254861">
        <w:rPr>
          <w:rFonts w:ascii="Verdana" w:hAnsi="Verdana" w:cs="Arial"/>
          <w:sz w:val="20"/>
          <w:szCs w:val="20"/>
        </w:rPr>
        <w:t>, позволяющий проводить глубокий анализ макроэкономических тенденций и строить среднесрочные прогнозы для нового участника</w:t>
      </w:r>
      <w:r w:rsidR="0082228C" w:rsidRPr="00D777A3">
        <w:rPr>
          <w:rFonts w:ascii="Verdana" w:hAnsi="Verdana"/>
          <w:sz w:val="20"/>
          <w:szCs w:val="20"/>
        </w:rPr>
        <w:t>.</w:t>
      </w:r>
      <w:r w:rsidR="00E71E36" w:rsidRPr="004D67D8">
        <w:rPr>
          <w:rFonts w:ascii="Verdana" w:hAnsi="Verdana" w:cs="Arial"/>
          <w:sz w:val="20"/>
          <w:szCs w:val="20"/>
        </w:rPr>
        <w:t xml:space="preserve"> </w:t>
      </w:r>
    </w:p>
    <w:p w14:paraId="077B292E" w14:textId="77777777" w:rsidR="00392762" w:rsidRDefault="00BF4E45" w:rsidP="004D67D8">
      <w:pPr>
        <w:pStyle w:val="ArialRegular12pt"/>
        <w:spacing w:after="120" w:line="240" w:lineRule="auto"/>
        <w:rPr>
          <w:rFonts w:ascii="Verdana" w:hAnsi="Verdana"/>
          <w:sz w:val="20"/>
          <w:lang w:eastAsia="en-US"/>
        </w:rPr>
      </w:pPr>
      <w:bookmarkStart w:id="0" w:name="_Hlk182915605"/>
      <w:r w:rsidRPr="004D67D8">
        <w:rPr>
          <w:rFonts w:ascii="Verdana" w:hAnsi="Verdana"/>
          <w:sz w:val="20"/>
          <w:lang w:eastAsia="en-US"/>
        </w:rPr>
        <w:t xml:space="preserve">Аналитики ЕАБР поделились видением ключевых тенденций в мировой экономике и их </w:t>
      </w:r>
      <w:r w:rsidR="00C70EE8" w:rsidRPr="00EB3E05">
        <w:rPr>
          <w:rFonts w:ascii="Verdana" w:hAnsi="Verdana"/>
          <w:sz w:val="20"/>
          <w:lang w:eastAsia="en-US"/>
        </w:rPr>
        <w:t xml:space="preserve">влиянием </w:t>
      </w:r>
      <w:r w:rsidRPr="00EB3E05">
        <w:rPr>
          <w:rFonts w:ascii="Verdana" w:hAnsi="Verdana"/>
          <w:sz w:val="20"/>
          <w:lang w:eastAsia="en-US"/>
        </w:rPr>
        <w:t xml:space="preserve">на Евразийский регион. </w:t>
      </w:r>
      <w:r w:rsidR="00FB4503" w:rsidRPr="00EB3E05">
        <w:rPr>
          <w:rFonts w:ascii="Verdana" w:hAnsi="Verdana"/>
          <w:sz w:val="20"/>
          <w:lang w:eastAsia="en-US"/>
        </w:rPr>
        <w:t>Р</w:t>
      </w:r>
      <w:r w:rsidR="00A53E3E" w:rsidRPr="00EB3E05">
        <w:rPr>
          <w:rFonts w:ascii="Verdana" w:hAnsi="Verdana"/>
          <w:sz w:val="20"/>
          <w:lang w:eastAsia="en-US"/>
        </w:rPr>
        <w:t xml:space="preserve">ост </w:t>
      </w:r>
      <w:r w:rsidR="00254861" w:rsidRPr="00EB3E05">
        <w:rPr>
          <w:rFonts w:ascii="Verdana" w:hAnsi="Verdana"/>
          <w:sz w:val="20"/>
          <w:lang w:eastAsia="en-US"/>
        </w:rPr>
        <w:t>глобальной</w:t>
      </w:r>
      <w:r w:rsidR="00DD4D7F" w:rsidRPr="00EB3E05">
        <w:rPr>
          <w:rFonts w:ascii="Verdana" w:hAnsi="Verdana"/>
          <w:sz w:val="20"/>
          <w:lang w:eastAsia="en-US"/>
        </w:rPr>
        <w:t xml:space="preserve"> экономи</w:t>
      </w:r>
      <w:r w:rsidR="00A53E3E" w:rsidRPr="00EB3E05">
        <w:rPr>
          <w:rFonts w:ascii="Verdana" w:hAnsi="Verdana"/>
          <w:sz w:val="20"/>
          <w:lang w:eastAsia="en-US"/>
        </w:rPr>
        <w:t>ки</w:t>
      </w:r>
      <w:r w:rsidR="00FB4503" w:rsidRPr="00EB3E05">
        <w:rPr>
          <w:rFonts w:ascii="Verdana" w:hAnsi="Verdana"/>
          <w:sz w:val="20"/>
          <w:lang w:eastAsia="en-US"/>
        </w:rPr>
        <w:t xml:space="preserve"> замедлится</w:t>
      </w:r>
      <w:r w:rsidR="00CE5665" w:rsidRPr="00EB3E05">
        <w:rPr>
          <w:rFonts w:ascii="Verdana" w:hAnsi="Verdana"/>
          <w:sz w:val="20"/>
          <w:lang w:eastAsia="en-US"/>
        </w:rPr>
        <w:t xml:space="preserve"> </w:t>
      </w:r>
      <w:r w:rsidR="00FF6082" w:rsidRPr="00EB3E05">
        <w:rPr>
          <w:rFonts w:ascii="Verdana" w:hAnsi="Verdana"/>
          <w:sz w:val="20"/>
          <w:lang w:eastAsia="en-US"/>
        </w:rPr>
        <w:t>до 3% в 2025 г</w:t>
      </w:r>
      <w:r w:rsidR="008110EB">
        <w:rPr>
          <w:rFonts w:ascii="Verdana" w:hAnsi="Verdana"/>
          <w:sz w:val="20"/>
          <w:lang w:eastAsia="en-US"/>
        </w:rPr>
        <w:t>оду</w:t>
      </w:r>
      <w:r w:rsidR="00FF6082" w:rsidRPr="00EB3E05">
        <w:rPr>
          <w:rFonts w:ascii="Verdana" w:hAnsi="Verdana"/>
          <w:sz w:val="20"/>
          <w:lang w:eastAsia="en-US"/>
        </w:rPr>
        <w:t xml:space="preserve"> </w:t>
      </w:r>
      <w:r w:rsidR="00FB4503" w:rsidRPr="00EB3E05">
        <w:rPr>
          <w:rFonts w:ascii="Verdana" w:hAnsi="Verdana"/>
          <w:sz w:val="20"/>
          <w:lang w:eastAsia="en-US"/>
        </w:rPr>
        <w:t xml:space="preserve">с </w:t>
      </w:r>
      <w:r w:rsidR="00FF6082" w:rsidRPr="00EB3E05">
        <w:rPr>
          <w:rFonts w:ascii="Verdana" w:hAnsi="Verdana"/>
          <w:sz w:val="20"/>
          <w:lang w:eastAsia="en-US"/>
        </w:rPr>
        <w:t>3,3</w:t>
      </w:r>
      <w:r w:rsidR="00FB4503" w:rsidRPr="00EB3E05">
        <w:rPr>
          <w:rFonts w:ascii="Verdana" w:hAnsi="Verdana"/>
          <w:sz w:val="20"/>
          <w:lang w:eastAsia="en-US"/>
        </w:rPr>
        <w:t xml:space="preserve">% в </w:t>
      </w:r>
      <w:r w:rsidR="00FF6082" w:rsidRPr="00EB3E05">
        <w:rPr>
          <w:rFonts w:ascii="Verdana" w:hAnsi="Verdana"/>
          <w:sz w:val="20"/>
          <w:lang w:eastAsia="en-US"/>
        </w:rPr>
        <w:t>2023</w:t>
      </w:r>
      <w:r w:rsidR="008110EB">
        <w:rPr>
          <w:rFonts w:ascii="Verdana" w:hAnsi="Verdana"/>
          <w:sz w:val="20"/>
          <w:lang w:eastAsia="en-US"/>
        </w:rPr>
        <w:t>–</w:t>
      </w:r>
      <w:r w:rsidR="00FB4503" w:rsidRPr="00EB3E05">
        <w:rPr>
          <w:rFonts w:ascii="Verdana" w:hAnsi="Verdana"/>
          <w:sz w:val="20"/>
          <w:lang w:eastAsia="en-US"/>
        </w:rPr>
        <w:t>2024 г</w:t>
      </w:r>
      <w:r w:rsidR="008110EB">
        <w:rPr>
          <w:rFonts w:ascii="Verdana" w:hAnsi="Verdana"/>
          <w:sz w:val="20"/>
          <w:lang w:eastAsia="en-US"/>
        </w:rPr>
        <w:t>одах</w:t>
      </w:r>
      <w:r w:rsidR="00FB4503" w:rsidRPr="00EB3E05">
        <w:rPr>
          <w:rFonts w:ascii="Verdana" w:hAnsi="Verdana"/>
          <w:sz w:val="20"/>
          <w:lang w:eastAsia="en-US"/>
        </w:rPr>
        <w:t>. Повышение неопределенности на фоне тарифной политики США и</w:t>
      </w:r>
      <w:r w:rsidR="001C0DE7" w:rsidRPr="00EB3E05">
        <w:rPr>
          <w:rFonts w:ascii="Verdana" w:hAnsi="Verdana"/>
          <w:sz w:val="20"/>
          <w:lang w:eastAsia="en-US"/>
        </w:rPr>
        <w:t xml:space="preserve"> негативны</w:t>
      </w:r>
      <w:r w:rsidR="00FB4503" w:rsidRPr="00EB3E05">
        <w:rPr>
          <w:rFonts w:ascii="Verdana" w:hAnsi="Verdana"/>
          <w:sz w:val="20"/>
          <w:lang w:eastAsia="en-US"/>
        </w:rPr>
        <w:t>е</w:t>
      </w:r>
      <w:r w:rsidR="001C0DE7" w:rsidRPr="00EB3E05">
        <w:rPr>
          <w:rFonts w:ascii="Verdana" w:hAnsi="Verdana"/>
          <w:sz w:val="20"/>
          <w:lang w:eastAsia="en-US"/>
        </w:rPr>
        <w:t xml:space="preserve"> структурны</w:t>
      </w:r>
      <w:r w:rsidR="00FB4503" w:rsidRPr="00EB3E05">
        <w:rPr>
          <w:rFonts w:ascii="Verdana" w:hAnsi="Verdana"/>
          <w:sz w:val="20"/>
          <w:lang w:eastAsia="en-US"/>
        </w:rPr>
        <w:t>е</w:t>
      </w:r>
      <w:r w:rsidR="001C0DE7" w:rsidRPr="00EB3E05">
        <w:rPr>
          <w:rFonts w:ascii="Verdana" w:hAnsi="Verdana"/>
          <w:sz w:val="20"/>
          <w:lang w:eastAsia="en-US"/>
        </w:rPr>
        <w:t xml:space="preserve"> фактор</w:t>
      </w:r>
      <w:r w:rsidR="00FB4503" w:rsidRPr="00EB3E05">
        <w:rPr>
          <w:rFonts w:ascii="Verdana" w:hAnsi="Verdana"/>
          <w:sz w:val="20"/>
          <w:lang w:eastAsia="en-US"/>
        </w:rPr>
        <w:t>ы</w:t>
      </w:r>
      <w:r w:rsidR="001C0DE7" w:rsidRPr="00EB3E05">
        <w:rPr>
          <w:rFonts w:ascii="Verdana" w:hAnsi="Verdana"/>
          <w:sz w:val="20"/>
          <w:lang w:eastAsia="en-US"/>
        </w:rPr>
        <w:t xml:space="preserve"> окаж</w:t>
      </w:r>
      <w:r w:rsidR="00FB4503" w:rsidRPr="00EB3E05">
        <w:rPr>
          <w:rFonts w:ascii="Verdana" w:hAnsi="Verdana"/>
          <w:sz w:val="20"/>
          <w:lang w:eastAsia="en-US"/>
        </w:rPr>
        <w:t>у</w:t>
      </w:r>
      <w:r w:rsidR="001C0DE7" w:rsidRPr="00EB3E05">
        <w:rPr>
          <w:rFonts w:ascii="Verdana" w:hAnsi="Verdana"/>
          <w:sz w:val="20"/>
          <w:lang w:eastAsia="en-US"/>
        </w:rPr>
        <w:t>т</w:t>
      </w:r>
      <w:r w:rsidR="00FB4503" w:rsidRPr="00EB3E05">
        <w:rPr>
          <w:rFonts w:ascii="Verdana" w:hAnsi="Verdana"/>
          <w:sz w:val="20"/>
          <w:lang w:eastAsia="en-US"/>
        </w:rPr>
        <w:t xml:space="preserve"> сдерживающее влияние на экономическую активность в мире</w:t>
      </w:r>
      <w:r w:rsidR="001C0DE7" w:rsidRPr="00EB3E05">
        <w:rPr>
          <w:rFonts w:ascii="Verdana" w:hAnsi="Verdana"/>
          <w:sz w:val="20"/>
          <w:lang w:eastAsia="en-US"/>
        </w:rPr>
        <w:t>.</w:t>
      </w:r>
      <w:r w:rsidR="00CE5665" w:rsidRPr="00EB3E05">
        <w:rPr>
          <w:rFonts w:ascii="Verdana" w:hAnsi="Verdana"/>
          <w:sz w:val="20"/>
          <w:lang w:eastAsia="en-US"/>
        </w:rPr>
        <w:t xml:space="preserve"> </w:t>
      </w:r>
      <w:r w:rsidR="00FB4503" w:rsidRPr="00EB3E05">
        <w:rPr>
          <w:rFonts w:ascii="Verdana" w:hAnsi="Verdana"/>
          <w:sz w:val="20"/>
          <w:lang w:eastAsia="en-US"/>
        </w:rPr>
        <w:t xml:space="preserve">Снижение </w:t>
      </w:r>
      <w:r w:rsidR="00D777A3" w:rsidRPr="00EB3E05">
        <w:rPr>
          <w:rFonts w:ascii="Verdana" w:hAnsi="Verdana"/>
          <w:sz w:val="20"/>
          <w:lang w:eastAsia="en-US"/>
        </w:rPr>
        <w:t>потребительской уверенности и ожиданий бизнеса</w:t>
      </w:r>
      <w:r w:rsidR="00D777A3" w:rsidRPr="00D777A3">
        <w:rPr>
          <w:rFonts w:ascii="Verdana" w:hAnsi="Verdana"/>
          <w:sz w:val="20"/>
          <w:lang w:eastAsia="en-US"/>
        </w:rPr>
        <w:t xml:space="preserve"> замедлят деловую активность в </w:t>
      </w:r>
      <w:r w:rsidR="00254861">
        <w:rPr>
          <w:rFonts w:ascii="Verdana" w:hAnsi="Verdana"/>
          <w:sz w:val="20"/>
          <w:lang w:eastAsia="en-US"/>
        </w:rPr>
        <w:t>американской экономике</w:t>
      </w:r>
      <w:r w:rsidR="00DD4D7F">
        <w:rPr>
          <w:rFonts w:ascii="Verdana" w:hAnsi="Verdana"/>
          <w:sz w:val="20"/>
          <w:lang w:eastAsia="en-US"/>
        </w:rPr>
        <w:t>, где</w:t>
      </w:r>
      <w:r w:rsidR="00D777A3" w:rsidRPr="00D777A3">
        <w:rPr>
          <w:rFonts w:ascii="Verdana" w:hAnsi="Verdana"/>
          <w:sz w:val="20"/>
          <w:lang w:eastAsia="en-US"/>
        </w:rPr>
        <w:t xml:space="preserve"> ВВП вырастет на 1,4% в 2025 г</w:t>
      </w:r>
      <w:r w:rsidR="008110EB">
        <w:rPr>
          <w:rFonts w:ascii="Verdana" w:hAnsi="Verdana"/>
          <w:sz w:val="20"/>
          <w:lang w:eastAsia="en-US"/>
        </w:rPr>
        <w:t>оду</w:t>
      </w:r>
      <w:r w:rsidR="00D777A3" w:rsidRPr="00D777A3">
        <w:rPr>
          <w:rFonts w:ascii="Verdana" w:hAnsi="Verdana"/>
          <w:sz w:val="20"/>
          <w:lang w:eastAsia="en-US"/>
        </w:rPr>
        <w:t xml:space="preserve"> после </w:t>
      </w:r>
      <w:r>
        <w:rPr>
          <w:rFonts w:ascii="Verdana" w:hAnsi="Verdana"/>
          <w:sz w:val="20"/>
          <w:lang w:eastAsia="en-US"/>
        </w:rPr>
        <w:t xml:space="preserve">увеличения на </w:t>
      </w:r>
      <w:r w:rsidR="00D777A3" w:rsidRPr="00D777A3">
        <w:rPr>
          <w:rFonts w:ascii="Verdana" w:hAnsi="Verdana"/>
          <w:sz w:val="20"/>
          <w:lang w:eastAsia="en-US"/>
        </w:rPr>
        <w:t>2,8% в 2024</w:t>
      </w:r>
      <w:r w:rsidR="00D777A3">
        <w:rPr>
          <w:rFonts w:ascii="Verdana" w:hAnsi="Verdana"/>
          <w:sz w:val="20"/>
          <w:lang w:eastAsia="en-US"/>
        </w:rPr>
        <w:t> </w:t>
      </w:r>
      <w:r w:rsidR="00D777A3" w:rsidRPr="00D777A3">
        <w:rPr>
          <w:rFonts w:ascii="Verdana" w:hAnsi="Verdana"/>
          <w:sz w:val="20"/>
          <w:lang w:eastAsia="en-US"/>
        </w:rPr>
        <w:t>г</w:t>
      </w:r>
      <w:r w:rsidR="008110EB">
        <w:rPr>
          <w:rFonts w:ascii="Verdana" w:hAnsi="Verdana"/>
          <w:sz w:val="20"/>
          <w:lang w:eastAsia="en-US"/>
        </w:rPr>
        <w:t>оду</w:t>
      </w:r>
      <w:r w:rsidR="00D777A3" w:rsidRPr="00D777A3">
        <w:rPr>
          <w:rFonts w:ascii="Verdana" w:hAnsi="Verdana"/>
          <w:sz w:val="20"/>
          <w:lang w:eastAsia="en-US"/>
        </w:rPr>
        <w:t xml:space="preserve">. </w:t>
      </w:r>
      <w:r w:rsidR="00CE5665" w:rsidRPr="00254861">
        <w:rPr>
          <w:rFonts w:ascii="Verdana" w:hAnsi="Verdana"/>
          <w:sz w:val="20"/>
          <w:lang w:eastAsia="en-US"/>
        </w:rPr>
        <w:t xml:space="preserve">В еврозоне в текущем году сохранятся слабые темпы экономического роста — около </w:t>
      </w:r>
      <w:r w:rsidR="00CE5665" w:rsidRPr="00D777A3">
        <w:rPr>
          <w:rFonts w:ascii="Verdana" w:hAnsi="Verdana"/>
          <w:sz w:val="20"/>
          <w:lang w:eastAsia="en-US"/>
        </w:rPr>
        <w:t xml:space="preserve">0,6% после 0,9% </w:t>
      </w:r>
      <w:r w:rsidR="00CE5665">
        <w:rPr>
          <w:rFonts w:ascii="Verdana" w:hAnsi="Verdana"/>
          <w:sz w:val="20"/>
          <w:lang w:eastAsia="en-US"/>
        </w:rPr>
        <w:t>годом ранее</w:t>
      </w:r>
      <w:r w:rsidR="00CE5665" w:rsidRPr="00254861">
        <w:rPr>
          <w:rFonts w:ascii="Verdana" w:hAnsi="Verdana"/>
          <w:sz w:val="20"/>
          <w:lang w:eastAsia="en-US"/>
        </w:rPr>
        <w:t>. </w:t>
      </w:r>
      <w:r w:rsidR="00FF6082" w:rsidRPr="00354BA5">
        <w:rPr>
          <w:rFonts w:ascii="Verdana" w:hAnsi="Verdana"/>
          <w:sz w:val="20"/>
          <w:lang w:eastAsia="en-US"/>
        </w:rPr>
        <w:t>Ослабление спроса на внешних рынках</w:t>
      </w:r>
      <w:r w:rsidR="00FF6082">
        <w:t xml:space="preserve"> </w:t>
      </w:r>
      <w:r w:rsidR="00D777A3" w:rsidRPr="00D777A3">
        <w:rPr>
          <w:rFonts w:ascii="Verdana" w:hAnsi="Verdana"/>
          <w:sz w:val="20"/>
          <w:lang w:eastAsia="en-US"/>
        </w:rPr>
        <w:t xml:space="preserve">из-за торговых </w:t>
      </w:r>
      <w:r w:rsidR="00CE5665">
        <w:rPr>
          <w:rFonts w:ascii="Verdana" w:hAnsi="Verdana"/>
          <w:sz w:val="20"/>
          <w:lang w:eastAsia="en-US"/>
        </w:rPr>
        <w:t>конфликтов</w:t>
      </w:r>
      <w:r w:rsidR="00CE5665" w:rsidRPr="00D777A3">
        <w:rPr>
          <w:rFonts w:ascii="Verdana" w:hAnsi="Verdana"/>
          <w:sz w:val="20"/>
          <w:lang w:eastAsia="en-US"/>
        </w:rPr>
        <w:t xml:space="preserve"> </w:t>
      </w:r>
      <w:r w:rsidR="00D777A3" w:rsidRPr="00D777A3">
        <w:rPr>
          <w:rFonts w:ascii="Verdana" w:hAnsi="Verdana"/>
          <w:sz w:val="20"/>
          <w:lang w:eastAsia="en-US"/>
        </w:rPr>
        <w:t xml:space="preserve">ограничит возможности </w:t>
      </w:r>
      <w:r w:rsidR="00FF6082">
        <w:rPr>
          <w:rFonts w:ascii="Verdana" w:hAnsi="Verdana"/>
          <w:sz w:val="20"/>
          <w:lang w:eastAsia="en-US"/>
        </w:rPr>
        <w:t>роста</w:t>
      </w:r>
      <w:r w:rsidR="00FF6082" w:rsidRPr="00D777A3">
        <w:rPr>
          <w:rFonts w:ascii="Verdana" w:hAnsi="Verdana"/>
          <w:sz w:val="20"/>
          <w:lang w:eastAsia="en-US"/>
        </w:rPr>
        <w:t xml:space="preserve"> </w:t>
      </w:r>
      <w:r w:rsidR="00D777A3" w:rsidRPr="00D777A3">
        <w:rPr>
          <w:rFonts w:ascii="Verdana" w:hAnsi="Verdana"/>
          <w:sz w:val="20"/>
          <w:lang w:eastAsia="en-US"/>
        </w:rPr>
        <w:t>экономики</w:t>
      </w:r>
      <w:r w:rsidR="00CE5665">
        <w:rPr>
          <w:rFonts w:ascii="Verdana" w:hAnsi="Verdana"/>
          <w:sz w:val="20"/>
          <w:lang w:eastAsia="en-US"/>
        </w:rPr>
        <w:t xml:space="preserve">. </w:t>
      </w:r>
      <w:r w:rsidR="00D777A3" w:rsidRPr="00D777A3">
        <w:rPr>
          <w:rFonts w:ascii="Verdana" w:hAnsi="Verdana"/>
          <w:sz w:val="20"/>
          <w:lang w:eastAsia="en-US"/>
        </w:rPr>
        <w:t>Рост китайской экономики сохранится вблизи целевых 5% в 2025 г</w:t>
      </w:r>
      <w:r w:rsidR="008110EB">
        <w:rPr>
          <w:rFonts w:ascii="Verdana" w:hAnsi="Verdana"/>
          <w:sz w:val="20"/>
          <w:lang w:eastAsia="en-US"/>
        </w:rPr>
        <w:t>оду</w:t>
      </w:r>
      <w:r w:rsidR="00D777A3" w:rsidRPr="00D777A3">
        <w:rPr>
          <w:rFonts w:ascii="Verdana" w:hAnsi="Verdana"/>
          <w:sz w:val="20"/>
          <w:lang w:eastAsia="en-US"/>
        </w:rPr>
        <w:t xml:space="preserve"> за сч</w:t>
      </w:r>
      <w:r w:rsidR="008110EB">
        <w:rPr>
          <w:rFonts w:ascii="Verdana" w:hAnsi="Verdana"/>
          <w:sz w:val="20"/>
          <w:lang w:eastAsia="en-US"/>
        </w:rPr>
        <w:t>е</w:t>
      </w:r>
      <w:r w:rsidR="00D777A3" w:rsidRPr="00D777A3">
        <w:rPr>
          <w:rFonts w:ascii="Verdana" w:hAnsi="Verdana"/>
          <w:sz w:val="20"/>
          <w:lang w:eastAsia="en-US"/>
        </w:rPr>
        <w:t xml:space="preserve">т </w:t>
      </w:r>
      <w:r w:rsidR="00CE5665">
        <w:rPr>
          <w:rFonts w:ascii="Verdana" w:hAnsi="Verdana"/>
          <w:sz w:val="20"/>
          <w:lang w:eastAsia="en-US"/>
        </w:rPr>
        <w:t>продолжени</w:t>
      </w:r>
      <w:r>
        <w:rPr>
          <w:rFonts w:ascii="Verdana" w:hAnsi="Verdana"/>
          <w:sz w:val="20"/>
          <w:lang w:eastAsia="en-US"/>
        </w:rPr>
        <w:t>я</w:t>
      </w:r>
      <w:r w:rsidR="00CE5665">
        <w:rPr>
          <w:rFonts w:ascii="Verdana" w:hAnsi="Verdana"/>
          <w:sz w:val="20"/>
          <w:lang w:eastAsia="en-US"/>
        </w:rPr>
        <w:t xml:space="preserve"> политики </w:t>
      </w:r>
      <w:r w:rsidR="00D777A3" w:rsidRPr="00D777A3">
        <w:rPr>
          <w:rFonts w:ascii="Verdana" w:hAnsi="Verdana"/>
          <w:sz w:val="20"/>
          <w:lang w:eastAsia="en-US"/>
        </w:rPr>
        <w:t xml:space="preserve">стимулирования внутреннего спроса. </w:t>
      </w:r>
    </w:p>
    <w:p w14:paraId="077B292F" w14:textId="77777777" w:rsidR="00D777A3" w:rsidRDefault="00BF4E45" w:rsidP="004D67D8">
      <w:pPr>
        <w:pStyle w:val="ArialRegular12pt"/>
        <w:spacing w:after="120" w:line="240" w:lineRule="auto"/>
        <w:rPr>
          <w:rFonts w:ascii="Verdana" w:hAnsi="Verdana"/>
          <w:sz w:val="20"/>
          <w:lang w:eastAsia="en-US"/>
        </w:rPr>
      </w:pPr>
      <w:r>
        <w:rPr>
          <w:rFonts w:ascii="Verdana" w:hAnsi="Verdana"/>
          <w:sz w:val="20"/>
          <w:lang w:eastAsia="en-US"/>
        </w:rPr>
        <w:t>В 2025 году и</w:t>
      </w:r>
      <w:r w:rsidRPr="00D777A3">
        <w:rPr>
          <w:rFonts w:ascii="Verdana" w:hAnsi="Verdana"/>
          <w:sz w:val="20"/>
          <w:lang w:eastAsia="en-US"/>
        </w:rPr>
        <w:t xml:space="preserve">нфляция в развитых странах вновь ускорится из-за увеличения издержек, связанных с ростом тарифов. </w:t>
      </w:r>
      <w:r w:rsidR="00DD4D7F">
        <w:rPr>
          <w:rFonts w:ascii="Verdana" w:hAnsi="Verdana"/>
          <w:sz w:val="20"/>
          <w:lang w:eastAsia="en-US"/>
        </w:rPr>
        <w:t>Тем не менее</w:t>
      </w:r>
      <w:r w:rsidR="00392762">
        <w:rPr>
          <w:rFonts w:ascii="Verdana" w:hAnsi="Verdana"/>
          <w:sz w:val="20"/>
          <w:lang w:eastAsia="en-US"/>
        </w:rPr>
        <w:t xml:space="preserve"> в среде</w:t>
      </w:r>
      <w:r w:rsidR="00DD4D7F">
        <w:rPr>
          <w:rFonts w:ascii="Verdana" w:hAnsi="Verdana"/>
          <w:sz w:val="20"/>
          <w:lang w:eastAsia="en-US"/>
        </w:rPr>
        <w:t xml:space="preserve"> </w:t>
      </w:r>
      <w:r w:rsidRPr="00D777A3">
        <w:rPr>
          <w:rFonts w:ascii="Verdana" w:hAnsi="Verdana"/>
          <w:sz w:val="20"/>
          <w:lang w:eastAsia="en-US"/>
        </w:rPr>
        <w:t>подавленн</w:t>
      </w:r>
      <w:r w:rsidR="00392762">
        <w:rPr>
          <w:rFonts w:ascii="Verdana" w:hAnsi="Verdana"/>
          <w:sz w:val="20"/>
          <w:lang w:eastAsia="en-US"/>
        </w:rPr>
        <w:t>ой</w:t>
      </w:r>
      <w:r w:rsidRPr="00D777A3">
        <w:rPr>
          <w:rFonts w:ascii="Verdana" w:hAnsi="Verdana"/>
          <w:sz w:val="20"/>
          <w:lang w:eastAsia="en-US"/>
        </w:rPr>
        <w:t xml:space="preserve"> экономическ</w:t>
      </w:r>
      <w:r w:rsidR="00392762">
        <w:rPr>
          <w:rFonts w:ascii="Verdana" w:hAnsi="Verdana"/>
          <w:sz w:val="20"/>
          <w:lang w:eastAsia="en-US"/>
        </w:rPr>
        <w:t>ой</w:t>
      </w:r>
      <w:r w:rsidRPr="00D777A3">
        <w:rPr>
          <w:rFonts w:ascii="Verdana" w:hAnsi="Verdana"/>
          <w:sz w:val="20"/>
          <w:lang w:eastAsia="en-US"/>
        </w:rPr>
        <w:t xml:space="preserve"> активност</w:t>
      </w:r>
      <w:r w:rsidR="00392762">
        <w:rPr>
          <w:rFonts w:ascii="Verdana" w:hAnsi="Verdana"/>
          <w:sz w:val="20"/>
          <w:lang w:eastAsia="en-US"/>
        </w:rPr>
        <w:t>и</w:t>
      </w:r>
      <w:r w:rsidRPr="00D777A3">
        <w:rPr>
          <w:rFonts w:ascii="Verdana" w:hAnsi="Verdana"/>
          <w:sz w:val="20"/>
          <w:lang w:eastAsia="en-US"/>
        </w:rPr>
        <w:t xml:space="preserve"> </w:t>
      </w:r>
      <w:r>
        <w:rPr>
          <w:rFonts w:ascii="Verdana" w:hAnsi="Verdana"/>
          <w:sz w:val="20"/>
          <w:lang w:eastAsia="en-US"/>
        </w:rPr>
        <w:t xml:space="preserve">аналитики ЕАБР </w:t>
      </w:r>
      <w:r w:rsidRPr="00D777A3">
        <w:rPr>
          <w:rFonts w:ascii="Verdana" w:hAnsi="Verdana"/>
          <w:sz w:val="20"/>
          <w:lang w:eastAsia="en-US"/>
        </w:rPr>
        <w:t>ожида</w:t>
      </w:r>
      <w:r>
        <w:rPr>
          <w:rFonts w:ascii="Verdana" w:hAnsi="Verdana"/>
          <w:sz w:val="20"/>
          <w:lang w:eastAsia="en-US"/>
        </w:rPr>
        <w:t>ют</w:t>
      </w:r>
      <w:r w:rsidRPr="00D777A3">
        <w:rPr>
          <w:rFonts w:ascii="Verdana" w:hAnsi="Verdana"/>
          <w:sz w:val="20"/>
          <w:lang w:eastAsia="en-US"/>
        </w:rPr>
        <w:t xml:space="preserve"> снижения ставки ФРС</w:t>
      </w:r>
      <w:r w:rsidR="00392762" w:rsidRPr="00354BA5">
        <w:rPr>
          <w:rFonts w:ascii="Verdana" w:hAnsi="Verdana"/>
          <w:sz w:val="20"/>
          <w:lang w:eastAsia="en-US"/>
        </w:rPr>
        <w:t xml:space="preserve"> </w:t>
      </w:r>
      <w:r w:rsidR="00392762">
        <w:rPr>
          <w:rFonts w:ascii="Verdana" w:hAnsi="Verdana"/>
          <w:sz w:val="20"/>
          <w:lang w:val="en-US" w:eastAsia="en-US"/>
        </w:rPr>
        <w:t>c</w:t>
      </w:r>
      <w:r w:rsidR="00392762" w:rsidRPr="00354BA5">
        <w:rPr>
          <w:rFonts w:ascii="Verdana" w:hAnsi="Verdana"/>
          <w:sz w:val="20"/>
          <w:lang w:eastAsia="en-US"/>
        </w:rPr>
        <w:t xml:space="preserve"> 4,25</w:t>
      </w:r>
      <w:r w:rsidR="00392762">
        <w:rPr>
          <w:rFonts w:ascii="Verdana" w:hAnsi="Verdana"/>
          <w:sz w:val="20"/>
          <w:lang w:eastAsia="en-US"/>
        </w:rPr>
        <w:t>–</w:t>
      </w:r>
      <w:r w:rsidR="00392762" w:rsidRPr="00354BA5">
        <w:rPr>
          <w:rFonts w:ascii="Verdana" w:hAnsi="Verdana"/>
          <w:sz w:val="20"/>
          <w:lang w:eastAsia="en-US"/>
        </w:rPr>
        <w:t xml:space="preserve">4,50 </w:t>
      </w:r>
      <w:r w:rsidR="00392762">
        <w:rPr>
          <w:rFonts w:ascii="Verdana" w:hAnsi="Verdana"/>
          <w:sz w:val="20"/>
          <w:lang w:eastAsia="en-US"/>
        </w:rPr>
        <w:t>в июне</w:t>
      </w:r>
      <w:r w:rsidRPr="00D777A3">
        <w:rPr>
          <w:rFonts w:ascii="Verdana" w:hAnsi="Verdana"/>
          <w:sz w:val="20"/>
          <w:lang w:eastAsia="en-US"/>
        </w:rPr>
        <w:t xml:space="preserve"> </w:t>
      </w:r>
      <w:r w:rsidR="00392762">
        <w:rPr>
          <w:rFonts w:ascii="Verdana" w:hAnsi="Verdana"/>
          <w:sz w:val="20"/>
          <w:lang w:eastAsia="en-US"/>
        </w:rPr>
        <w:t xml:space="preserve">примерно </w:t>
      </w:r>
      <w:r>
        <w:rPr>
          <w:rFonts w:ascii="Verdana" w:hAnsi="Verdana"/>
          <w:sz w:val="20"/>
          <w:lang w:eastAsia="en-US"/>
        </w:rPr>
        <w:t xml:space="preserve">до </w:t>
      </w:r>
      <w:r w:rsidRPr="00D777A3">
        <w:rPr>
          <w:rFonts w:ascii="Verdana" w:hAnsi="Verdana"/>
          <w:sz w:val="20"/>
          <w:lang w:eastAsia="en-US"/>
        </w:rPr>
        <w:t>4%</w:t>
      </w:r>
      <w:r w:rsidR="00392762">
        <w:rPr>
          <w:rFonts w:ascii="Verdana" w:hAnsi="Verdana"/>
          <w:sz w:val="20"/>
          <w:lang w:eastAsia="en-US"/>
        </w:rPr>
        <w:t xml:space="preserve"> к концу 2025 г</w:t>
      </w:r>
      <w:r>
        <w:rPr>
          <w:rFonts w:ascii="Verdana" w:hAnsi="Verdana"/>
          <w:sz w:val="20"/>
          <w:lang w:eastAsia="en-US"/>
        </w:rPr>
        <w:t>ода</w:t>
      </w:r>
      <w:r w:rsidR="002F72D8" w:rsidRPr="002F72D8">
        <w:rPr>
          <w:rFonts w:ascii="Verdana" w:hAnsi="Verdana"/>
          <w:sz w:val="20"/>
          <w:lang w:eastAsia="en-US"/>
        </w:rPr>
        <w:t xml:space="preserve"> и сохранения ставки ЕЦБ </w:t>
      </w:r>
      <w:r w:rsidR="00B003E7">
        <w:rPr>
          <w:rFonts w:ascii="Verdana" w:hAnsi="Verdana"/>
          <w:sz w:val="20"/>
          <w:lang w:eastAsia="en-US"/>
        </w:rPr>
        <w:t xml:space="preserve">на текущем уровне </w:t>
      </w:r>
      <w:r w:rsidR="002F72D8" w:rsidRPr="002F72D8">
        <w:rPr>
          <w:rFonts w:ascii="Verdana" w:hAnsi="Verdana"/>
          <w:sz w:val="20"/>
          <w:lang w:eastAsia="en-US"/>
        </w:rPr>
        <w:t>2% до конца года.</w:t>
      </w:r>
    </w:p>
    <w:p w14:paraId="077B2930" w14:textId="77777777" w:rsidR="007358B4" w:rsidRPr="00254861" w:rsidRDefault="00BF4E45" w:rsidP="00254861">
      <w:pPr>
        <w:spacing w:after="0"/>
        <w:jc w:val="both"/>
        <w:rPr>
          <w:rFonts w:ascii="Verdana" w:hAnsi="Verdana"/>
          <w:sz w:val="20"/>
          <w:szCs w:val="20"/>
        </w:rPr>
      </w:pPr>
      <w:r w:rsidRPr="00354BA5">
        <w:rPr>
          <w:rFonts w:ascii="Verdana" w:hAnsi="Verdana"/>
          <w:bCs/>
          <w:sz w:val="20"/>
          <w:szCs w:val="20"/>
        </w:rPr>
        <w:t xml:space="preserve">В </w:t>
      </w:r>
      <w:r w:rsidR="004E713D">
        <w:rPr>
          <w:rFonts w:ascii="Verdana" w:hAnsi="Verdana"/>
          <w:bCs/>
          <w:sz w:val="20"/>
          <w:szCs w:val="20"/>
        </w:rPr>
        <w:t>странах</w:t>
      </w:r>
      <w:r w:rsidR="004E713D" w:rsidRPr="00354BA5">
        <w:rPr>
          <w:rFonts w:ascii="Verdana" w:hAnsi="Verdana"/>
          <w:bCs/>
          <w:sz w:val="20"/>
          <w:szCs w:val="20"/>
        </w:rPr>
        <w:t xml:space="preserve"> </w:t>
      </w:r>
      <w:r w:rsidRPr="00354BA5">
        <w:rPr>
          <w:rFonts w:ascii="Verdana" w:hAnsi="Verdana"/>
          <w:bCs/>
          <w:sz w:val="20"/>
          <w:szCs w:val="20"/>
        </w:rPr>
        <w:t xml:space="preserve">операций ЕАБР </w:t>
      </w:r>
      <w:r w:rsidR="004E713D">
        <w:rPr>
          <w:rFonts w:ascii="Verdana" w:hAnsi="Verdana"/>
          <w:bCs/>
          <w:sz w:val="20"/>
          <w:szCs w:val="20"/>
        </w:rPr>
        <w:t>ожидается</w:t>
      </w:r>
      <w:r w:rsidR="004E713D" w:rsidRPr="00354BA5">
        <w:rPr>
          <w:rFonts w:ascii="Verdana" w:hAnsi="Verdana"/>
          <w:bCs/>
          <w:sz w:val="20"/>
          <w:szCs w:val="20"/>
        </w:rPr>
        <w:t xml:space="preserve"> </w:t>
      </w:r>
      <w:r w:rsidRPr="00354BA5">
        <w:rPr>
          <w:rFonts w:ascii="Verdana" w:hAnsi="Verdana"/>
          <w:bCs/>
          <w:sz w:val="20"/>
          <w:szCs w:val="20"/>
        </w:rPr>
        <w:t>сохранение высокой экономической активности</w:t>
      </w:r>
      <w:r w:rsidR="00FF6082" w:rsidRPr="00354BA5">
        <w:rPr>
          <w:rFonts w:ascii="Verdana" w:hAnsi="Verdana"/>
          <w:bCs/>
          <w:sz w:val="20"/>
          <w:szCs w:val="20"/>
        </w:rPr>
        <w:t xml:space="preserve"> </w:t>
      </w:r>
      <w:r w:rsidR="004E713D">
        <w:rPr>
          <w:rFonts w:ascii="Verdana" w:hAnsi="Verdana"/>
          <w:bCs/>
          <w:sz w:val="20"/>
          <w:szCs w:val="20"/>
        </w:rPr>
        <w:t xml:space="preserve">в </w:t>
      </w:r>
      <w:r w:rsidR="00FF6082" w:rsidRPr="00354BA5">
        <w:rPr>
          <w:rFonts w:ascii="Verdana" w:hAnsi="Verdana"/>
          <w:bCs/>
          <w:sz w:val="20"/>
          <w:szCs w:val="20"/>
        </w:rPr>
        <w:t>прогноз</w:t>
      </w:r>
      <w:r w:rsidR="004E713D">
        <w:rPr>
          <w:rFonts w:ascii="Verdana" w:hAnsi="Verdana"/>
          <w:bCs/>
          <w:sz w:val="20"/>
          <w:szCs w:val="20"/>
        </w:rPr>
        <w:t>ируемом</w:t>
      </w:r>
      <w:r w:rsidR="00FF6082" w:rsidRPr="00354BA5">
        <w:rPr>
          <w:rFonts w:ascii="Verdana" w:hAnsi="Verdana"/>
          <w:bCs/>
          <w:sz w:val="20"/>
          <w:szCs w:val="20"/>
        </w:rPr>
        <w:t xml:space="preserve"> периоде</w:t>
      </w:r>
      <w:r w:rsidRPr="00354BA5">
        <w:rPr>
          <w:rFonts w:ascii="Verdana" w:hAnsi="Verdana"/>
          <w:bCs/>
          <w:sz w:val="20"/>
          <w:szCs w:val="20"/>
        </w:rPr>
        <w:t>, несмотря на сложны</w:t>
      </w:r>
      <w:r w:rsidR="004E713D">
        <w:rPr>
          <w:rFonts w:ascii="Verdana" w:hAnsi="Verdana"/>
          <w:bCs/>
          <w:sz w:val="20"/>
          <w:szCs w:val="20"/>
        </w:rPr>
        <w:t>е</w:t>
      </w:r>
      <w:r w:rsidRPr="00354BA5">
        <w:rPr>
          <w:rFonts w:ascii="Verdana" w:hAnsi="Verdana"/>
          <w:bCs/>
          <w:sz w:val="20"/>
          <w:szCs w:val="20"/>
        </w:rPr>
        <w:t xml:space="preserve"> внешнеэкономически</w:t>
      </w:r>
      <w:r w:rsidR="004E713D">
        <w:rPr>
          <w:rFonts w:ascii="Verdana" w:hAnsi="Verdana"/>
          <w:bCs/>
          <w:sz w:val="20"/>
          <w:szCs w:val="20"/>
        </w:rPr>
        <w:t>е условия</w:t>
      </w:r>
      <w:r w:rsidRPr="00354BA5">
        <w:rPr>
          <w:rFonts w:ascii="Verdana" w:hAnsi="Verdana"/>
          <w:bCs/>
          <w:sz w:val="20"/>
          <w:szCs w:val="20"/>
        </w:rPr>
        <w:t>.</w:t>
      </w:r>
      <w:r w:rsidRPr="00254861">
        <w:rPr>
          <w:rFonts w:ascii="Verdana" w:hAnsi="Verdana"/>
          <w:sz w:val="20"/>
          <w:szCs w:val="20"/>
        </w:rPr>
        <w:t xml:space="preserve"> </w:t>
      </w:r>
      <w:r w:rsidR="00853596" w:rsidRPr="00853596">
        <w:rPr>
          <w:rFonts w:ascii="Verdana" w:hAnsi="Verdana"/>
          <w:sz w:val="20"/>
          <w:szCs w:val="20"/>
        </w:rPr>
        <w:t>Страны продолжат активно опираться на внутренние источники роста, прежде всего на инфраструктурные и индустриальные инвестиции, а также на динамично растущий потребительский спрос</w:t>
      </w:r>
      <w:r w:rsidR="00B003E7">
        <w:rPr>
          <w:rFonts w:ascii="Verdana" w:hAnsi="Verdana"/>
          <w:sz w:val="20"/>
          <w:szCs w:val="20"/>
        </w:rPr>
        <w:t xml:space="preserve"> на фоне </w:t>
      </w:r>
      <w:r w:rsidR="00853596" w:rsidRPr="00853596">
        <w:rPr>
          <w:rFonts w:ascii="Verdana" w:hAnsi="Verdana"/>
          <w:sz w:val="20"/>
          <w:szCs w:val="20"/>
        </w:rPr>
        <w:t>значительн</w:t>
      </w:r>
      <w:r w:rsidR="00B003E7">
        <w:rPr>
          <w:rFonts w:ascii="Verdana" w:hAnsi="Verdana"/>
          <w:sz w:val="20"/>
          <w:szCs w:val="20"/>
        </w:rPr>
        <w:t>ого</w:t>
      </w:r>
      <w:r w:rsidR="00853596" w:rsidRPr="00853596">
        <w:rPr>
          <w:rFonts w:ascii="Verdana" w:hAnsi="Verdana"/>
          <w:sz w:val="20"/>
          <w:szCs w:val="20"/>
        </w:rPr>
        <w:t xml:space="preserve"> увеличени</w:t>
      </w:r>
      <w:r w:rsidR="00B003E7">
        <w:rPr>
          <w:rFonts w:ascii="Verdana" w:hAnsi="Verdana"/>
          <w:sz w:val="20"/>
          <w:szCs w:val="20"/>
        </w:rPr>
        <w:t>я</w:t>
      </w:r>
      <w:r w:rsidR="00853596" w:rsidRPr="00853596">
        <w:rPr>
          <w:rFonts w:ascii="Verdana" w:hAnsi="Verdana"/>
          <w:sz w:val="20"/>
          <w:szCs w:val="20"/>
        </w:rPr>
        <w:t xml:space="preserve"> доходов населения.</w:t>
      </w:r>
      <w:r w:rsidR="00853596">
        <w:rPr>
          <w:rFonts w:ascii="Segoe UI" w:hAnsi="Segoe UI" w:cs="Segoe UI"/>
        </w:rPr>
        <w:t xml:space="preserve"> </w:t>
      </w:r>
      <w:r w:rsidR="002A2BE0">
        <w:rPr>
          <w:rFonts w:ascii="Verdana" w:hAnsi="Verdana"/>
          <w:sz w:val="20"/>
          <w:szCs w:val="20"/>
        </w:rPr>
        <w:t xml:space="preserve">По оценкам аналитиков ЕАБР, </w:t>
      </w:r>
      <w:r w:rsidRPr="00254861">
        <w:rPr>
          <w:rFonts w:ascii="Verdana" w:hAnsi="Verdana"/>
          <w:sz w:val="20"/>
          <w:szCs w:val="20"/>
        </w:rPr>
        <w:t>рост ВВП региона операций Банка составит 2,</w:t>
      </w:r>
      <w:r w:rsidR="006F2374" w:rsidRPr="00254861">
        <w:rPr>
          <w:rFonts w:ascii="Verdana" w:hAnsi="Verdana"/>
          <w:sz w:val="20"/>
          <w:szCs w:val="20"/>
        </w:rPr>
        <w:t>7</w:t>
      </w:r>
      <w:r w:rsidRPr="00254861">
        <w:rPr>
          <w:rFonts w:ascii="Verdana" w:hAnsi="Verdana"/>
          <w:sz w:val="20"/>
          <w:szCs w:val="20"/>
        </w:rPr>
        <w:t>% по итогам 2025 г</w:t>
      </w:r>
      <w:r w:rsidR="003F453C">
        <w:rPr>
          <w:rFonts w:ascii="Verdana" w:hAnsi="Verdana"/>
          <w:sz w:val="20"/>
          <w:szCs w:val="20"/>
        </w:rPr>
        <w:t>ода</w:t>
      </w:r>
      <w:r w:rsidR="00CB1951">
        <w:rPr>
          <w:rFonts w:ascii="Verdana" w:hAnsi="Verdana"/>
          <w:sz w:val="20"/>
          <w:szCs w:val="20"/>
        </w:rPr>
        <w:t xml:space="preserve">, </w:t>
      </w:r>
      <w:r w:rsidR="00F13BAA">
        <w:rPr>
          <w:rFonts w:ascii="Verdana" w:hAnsi="Verdana"/>
          <w:sz w:val="20"/>
          <w:szCs w:val="20"/>
        </w:rPr>
        <w:t>одновременно</w:t>
      </w:r>
      <w:r w:rsidR="00CB1951" w:rsidRPr="0027089F">
        <w:rPr>
          <w:rFonts w:ascii="Verdana" w:hAnsi="Verdana"/>
          <w:sz w:val="20"/>
          <w:szCs w:val="20"/>
        </w:rPr>
        <w:t xml:space="preserve"> инфляция в регионе замедлится до 7,7% в 2025 г</w:t>
      </w:r>
      <w:r w:rsidR="00F13BAA">
        <w:rPr>
          <w:rFonts w:ascii="Verdana" w:hAnsi="Verdana"/>
          <w:sz w:val="20"/>
          <w:szCs w:val="20"/>
        </w:rPr>
        <w:t>оду</w:t>
      </w:r>
      <w:r w:rsidR="00CB1951" w:rsidRPr="0027089F">
        <w:rPr>
          <w:rFonts w:ascii="Verdana" w:hAnsi="Verdana"/>
          <w:sz w:val="20"/>
          <w:szCs w:val="20"/>
        </w:rPr>
        <w:t xml:space="preserve"> с 8,8% в 2024 г</w:t>
      </w:r>
      <w:r w:rsidR="00F13BAA">
        <w:rPr>
          <w:rFonts w:ascii="Verdana" w:hAnsi="Verdana"/>
          <w:sz w:val="20"/>
          <w:szCs w:val="20"/>
        </w:rPr>
        <w:t>оду</w:t>
      </w:r>
      <w:r w:rsidR="00CB1951" w:rsidRPr="0027089F">
        <w:rPr>
          <w:rFonts w:ascii="Verdana" w:hAnsi="Verdana"/>
          <w:sz w:val="20"/>
          <w:szCs w:val="20"/>
        </w:rPr>
        <w:t>.</w:t>
      </w:r>
    </w:p>
    <w:p w14:paraId="077B2931" w14:textId="77777777" w:rsidR="00915C8F" w:rsidRDefault="00915C8F" w:rsidP="00254861">
      <w:pPr>
        <w:spacing w:after="0"/>
        <w:jc w:val="both"/>
        <w:rPr>
          <w:rFonts w:ascii="Verdana" w:hAnsi="Verdana" w:cs="Arial"/>
          <w:b/>
          <w:sz w:val="20"/>
        </w:rPr>
      </w:pPr>
    </w:p>
    <w:bookmarkEnd w:id="0"/>
    <w:p w14:paraId="077B2932" w14:textId="77777777" w:rsidR="004D67D8" w:rsidRPr="004D67D8" w:rsidRDefault="00BF4E45" w:rsidP="004D67D8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AB7DA3">
        <w:rPr>
          <w:rFonts w:ascii="Verdana" w:hAnsi="Verdana" w:cs="Arial"/>
          <w:b/>
          <w:sz w:val="20"/>
          <w:szCs w:val="20"/>
        </w:rPr>
        <w:t xml:space="preserve">Прогноз основных макроэкономических показателей государств </w:t>
      </w:r>
      <w:r w:rsidR="00F13BAA">
        <w:rPr>
          <w:rFonts w:ascii="Verdana" w:hAnsi="Verdana" w:cs="Arial"/>
          <w:b/>
          <w:sz w:val="20"/>
          <w:szCs w:val="20"/>
        </w:rPr>
        <w:t>—</w:t>
      </w:r>
      <w:r w:rsidR="00D331AF" w:rsidRPr="00AB7DA3">
        <w:rPr>
          <w:rFonts w:ascii="Verdana" w:hAnsi="Verdana" w:cs="Arial"/>
          <w:b/>
          <w:sz w:val="20"/>
          <w:szCs w:val="20"/>
        </w:rPr>
        <w:t xml:space="preserve"> </w:t>
      </w:r>
      <w:r w:rsidRPr="00AB7DA3">
        <w:rPr>
          <w:rFonts w:ascii="Verdana" w:hAnsi="Verdana" w:cs="Arial"/>
          <w:b/>
          <w:sz w:val="20"/>
          <w:szCs w:val="20"/>
        </w:rPr>
        <w:t>участников ЕАБР на 202</w:t>
      </w:r>
      <w:r w:rsidR="00EB0FCF">
        <w:rPr>
          <w:rFonts w:ascii="Verdana" w:hAnsi="Verdana" w:cs="Arial"/>
          <w:b/>
          <w:sz w:val="20"/>
          <w:szCs w:val="20"/>
        </w:rPr>
        <w:t xml:space="preserve">5 </w:t>
      </w:r>
      <w:r w:rsidR="00D331AF" w:rsidRPr="00AB7DA3">
        <w:rPr>
          <w:rFonts w:ascii="Verdana" w:hAnsi="Verdana" w:cs="Arial"/>
          <w:b/>
          <w:sz w:val="20"/>
          <w:szCs w:val="20"/>
        </w:rPr>
        <w:t>г</w:t>
      </w:r>
      <w:r w:rsidR="00F13BAA">
        <w:rPr>
          <w:rFonts w:ascii="Verdana" w:hAnsi="Verdana" w:cs="Arial"/>
          <w:b/>
          <w:sz w:val="20"/>
          <w:szCs w:val="20"/>
        </w:rPr>
        <w:t>од</w:t>
      </w:r>
    </w:p>
    <w:p w14:paraId="700B51BD" w14:textId="63993121" w:rsidR="00A803A0" w:rsidRPr="007A3CD0" w:rsidRDefault="00A803A0" w:rsidP="004D67D8">
      <w:pPr>
        <w:spacing w:after="0"/>
        <w:jc w:val="both"/>
        <w:rPr>
          <w:i/>
          <w:noProof/>
        </w:rPr>
      </w:pPr>
      <w:r w:rsidRPr="004D67D8">
        <w:rPr>
          <w:rFonts w:ascii="Verdana" w:hAnsi="Verdana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B2A2A" wp14:editId="02D4EF1A">
                <wp:simplePos x="0" y="0"/>
                <wp:positionH relativeFrom="margin">
                  <wp:align>left</wp:align>
                </wp:positionH>
                <wp:positionV relativeFrom="paragraph">
                  <wp:posOffset>482285</wp:posOffset>
                </wp:positionV>
                <wp:extent cx="810895" cy="29337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0895" cy="2933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B2A2F" w14:textId="77777777" w:rsidR="00EF54A9" w:rsidRPr="00EB0FCF" w:rsidRDefault="00EF54A9" w:rsidP="004D67D8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D765E">
                              <w:rPr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B2A2A" id="Прямоугольник 4" o:spid="_x0000_s1026" style="position:absolute;left:0;text-align:left;margin-left:0;margin-top:38pt;width:63.85pt;height:23.1pt;rotation:-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" fillcolor="black" stroked="f" strokeweight="1pt">
                <v:fill opacity="0"/>
                <v:textbox>
                  <w:txbxContent>
                    <w:p w14:paraId="077B2A2F" w14:textId="77777777" w:rsidR="00EF54A9" w:rsidRPr="00EB0FCF" w:rsidRDefault="00EF54A9" w:rsidP="004D67D8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D765E">
                        <w:rPr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  <w:lang w:val="en-US"/>
                        </w:rPr>
                        <w:t>202</w:t>
                      </w:r>
                      <w:r>
                        <w:rPr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03A0">
        <w:rPr>
          <w:i/>
          <w:noProof/>
          <w:lang w:eastAsia="ru-RU"/>
        </w:rPr>
        <w:drawing>
          <wp:inline distT="0" distB="0" distL="0" distR="0" wp14:anchorId="13D27734" wp14:editId="17CEC1C9">
            <wp:extent cx="5923969" cy="3609975"/>
            <wp:effectExtent l="0" t="0" r="635" b="0"/>
            <wp:docPr id="2" name="Рисунок 2" descr="\\eabrsfb04\EABR_Almaty\Дирекция по аналитической работе\Макроэкономика\Макро прогнозы\2025\июнь\ключевые выводы\EDB-Macroreview_RU_2025.06.19_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abrsfb04\EABR_Almaty\Дирекция по аналитической работе\Макроэкономика\Макро прогнозы\2025\июнь\ключевые выводы\EDB-Macroreview_RU_2025.06.19_UN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36392" r="7521" b="28599"/>
                    <a:stretch/>
                  </pic:blipFill>
                  <pic:spPr bwMode="auto">
                    <a:xfrm>
                      <a:off x="0" y="0"/>
                      <a:ext cx="5932868" cy="361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B2934" w14:textId="77777777" w:rsidR="00966318" w:rsidRPr="0027089F" w:rsidRDefault="00BF4E45" w:rsidP="00966318">
      <w:pPr>
        <w:spacing w:after="240" w:line="240" w:lineRule="auto"/>
        <w:jc w:val="both"/>
        <w:rPr>
          <w:rFonts w:ascii="Verdana" w:hAnsi="Verdana" w:cs="Arial"/>
          <w:noProof/>
          <w:color w:val="000000" w:themeColor="text1"/>
          <w:sz w:val="20"/>
          <w:szCs w:val="20"/>
          <w:lang w:eastAsia="ru-RU"/>
        </w:rPr>
      </w:pPr>
      <w:r w:rsidRPr="007A3CD0">
        <w:rPr>
          <w:rFonts w:ascii="Verdana" w:hAnsi="Verdana" w:cs="Arial"/>
          <w:i/>
          <w:sz w:val="18"/>
          <w:szCs w:val="20"/>
        </w:rPr>
        <w:t xml:space="preserve">Источник: </w:t>
      </w:r>
      <w:r w:rsidRPr="007A3CD0">
        <w:rPr>
          <w:rFonts w:ascii="Verdana" w:hAnsi="Verdana" w:cs="Arial"/>
          <w:i/>
          <w:sz w:val="20"/>
          <w:szCs w:val="20"/>
        </w:rPr>
        <w:t xml:space="preserve">расчеты аналитиков </w:t>
      </w:r>
      <w:r w:rsidRPr="007A3CD0">
        <w:rPr>
          <w:rFonts w:ascii="Verdana" w:hAnsi="Verdana" w:cs="Arial"/>
          <w:i/>
          <w:color w:val="000000" w:themeColor="text1"/>
          <w:sz w:val="20"/>
          <w:szCs w:val="20"/>
        </w:rPr>
        <w:t>ЕАБР</w:t>
      </w:r>
      <w:bookmarkStart w:id="1" w:name="_Hlk182915625"/>
    </w:p>
    <w:p w14:paraId="077B2935" w14:textId="77777777" w:rsidR="003B3BE0" w:rsidRPr="008D016C" w:rsidRDefault="00BF4E45" w:rsidP="00FD708D">
      <w:pPr>
        <w:pStyle w:val="ArialRegular12pt"/>
        <w:spacing w:before="120" w:after="120" w:line="240" w:lineRule="auto"/>
        <w:rPr>
          <w:rFonts w:ascii="Verdana" w:hAnsi="Verdana"/>
          <w:color w:val="000000" w:themeColor="text1"/>
          <w:sz w:val="20"/>
          <w:lang w:eastAsia="en-US"/>
        </w:rPr>
      </w:pPr>
      <w:r w:rsidRPr="007A3CD0">
        <w:rPr>
          <w:rFonts w:ascii="Verdana" w:hAnsi="Verdana" w:cs="Segoe UI"/>
          <w:color w:val="404040"/>
          <w:sz w:val="20"/>
          <w:shd w:val="clear" w:color="auto" w:fill="FFFFFF"/>
        </w:rPr>
        <w:t>Экономика Армении, по прогнозам ЕАБР, стабилизируется на траектории роста 5,5% с сохранением внутреннего спроса в качестве главного двигателя развития.</w:t>
      </w:r>
      <w:r>
        <w:rPr>
          <w:rFonts w:ascii="Segoe UI" w:hAnsi="Segoe UI" w:cs="Segoe UI"/>
          <w:color w:val="404040"/>
          <w:shd w:val="clear" w:color="auto" w:fill="FFFFFF"/>
        </w:rPr>
        <w:t xml:space="preserve"> </w:t>
      </w:r>
      <w:r w:rsidR="00FD708D" w:rsidRPr="008D016C">
        <w:rPr>
          <w:rFonts w:ascii="Verdana" w:hAnsi="Verdana"/>
          <w:sz w:val="20"/>
        </w:rPr>
        <w:t>Инфляция прогнозируется вблизи цели на всем прогнозном горизонте</w:t>
      </w:r>
      <w:r w:rsidR="00CB1951" w:rsidRPr="008D016C">
        <w:rPr>
          <w:rFonts w:ascii="Verdana" w:hAnsi="Verdana"/>
          <w:sz w:val="20"/>
          <w:lang w:eastAsia="en-US"/>
        </w:rPr>
        <w:t xml:space="preserve"> и </w:t>
      </w:r>
      <w:r w:rsidR="00CB1951" w:rsidRPr="008D016C">
        <w:rPr>
          <w:rFonts w:ascii="Verdana" w:hAnsi="Verdana"/>
          <w:sz w:val="20"/>
        </w:rPr>
        <w:t>составит 3,1% на конец 2025 г</w:t>
      </w:r>
      <w:r w:rsidR="003A3B68">
        <w:rPr>
          <w:rFonts w:ascii="Verdana" w:hAnsi="Verdana"/>
          <w:sz w:val="20"/>
        </w:rPr>
        <w:t>ода</w:t>
      </w:r>
      <w:r w:rsidR="00CB1951" w:rsidRPr="008D016C">
        <w:rPr>
          <w:rFonts w:ascii="Verdana" w:hAnsi="Verdana"/>
          <w:sz w:val="20"/>
        </w:rPr>
        <w:t>.</w:t>
      </w:r>
      <w:r w:rsidR="000935C2" w:rsidRPr="008D016C">
        <w:rPr>
          <w:rFonts w:ascii="Verdana" w:hAnsi="Verdana"/>
          <w:sz w:val="20"/>
        </w:rPr>
        <w:t xml:space="preserve"> С</w:t>
      </w:r>
      <w:r w:rsidR="00712ED2" w:rsidRPr="008D016C">
        <w:rPr>
          <w:rFonts w:ascii="Verdana" w:hAnsi="Verdana"/>
          <w:color w:val="000000" w:themeColor="text1"/>
          <w:sz w:val="20"/>
        </w:rPr>
        <w:t xml:space="preserve">редний </w:t>
      </w:r>
      <w:r w:rsidR="00FD708D" w:rsidRPr="008D016C">
        <w:rPr>
          <w:rFonts w:ascii="Verdana" w:hAnsi="Verdana"/>
          <w:color w:val="000000" w:themeColor="text1"/>
          <w:sz w:val="20"/>
        </w:rPr>
        <w:t>курс драма</w:t>
      </w:r>
      <w:r w:rsidR="0065285E" w:rsidRPr="0065285E">
        <w:rPr>
          <w:rFonts w:ascii="Verdana" w:hAnsi="Verdana"/>
          <w:color w:val="000000" w:themeColor="text1"/>
          <w:sz w:val="20"/>
        </w:rPr>
        <w:t xml:space="preserve"> </w:t>
      </w:r>
      <w:r w:rsidR="00712ED2" w:rsidRPr="008D016C">
        <w:rPr>
          <w:rFonts w:ascii="Verdana" w:hAnsi="Verdana"/>
          <w:color w:val="000000" w:themeColor="text1"/>
          <w:sz w:val="20"/>
        </w:rPr>
        <w:t xml:space="preserve">в </w:t>
      </w:r>
      <w:r w:rsidR="003A3B68">
        <w:rPr>
          <w:rFonts w:ascii="Verdana" w:hAnsi="Verdana"/>
          <w:color w:val="000000" w:themeColor="text1"/>
          <w:sz w:val="20"/>
        </w:rPr>
        <w:t>текущем году ожидается</w:t>
      </w:r>
      <w:r w:rsidR="00CF4352" w:rsidRPr="008D016C">
        <w:rPr>
          <w:rFonts w:ascii="Verdana" w:hAnsi="Verdana"/>
          <w:color w:val="000000" w:themeColor="text1"/>
          <w:sz w:val="20"/>
        </w:rPr>
        <w:t xml:space="preserve"> на уровне предыдущего года</w:t>
      </w:r>
      <w:r w:rsidR="003A3B68">
        <w:rPr>
          <w:rFonts w:ascii="Verdana" w:hAnsi="Verdana"/>
          <w:color w:val="000000" w:themeColor="text1"/>
          <w:sz w:val="20"/>
        </w:rPr>
        <w:t> —</w:t>
      </w:r>
      <w:r w:rsidR="00CF4352" w:rsidRPr="008D016C">
        <w:rPr>
          <w:rFonts w:ascii="Verdana" w:hAnsi="Verdana"/>
          <w:color w:val="000000" w:themeColor="text1"/>
          <w:sz w:val="20"/>
        </w:rPr>
        <w:t xml:space="preserve"> </w:t>
      </w:r>
      <w:r w:rsidR="00FD708D" w:rsidRPr="008D016C">
        <w:rPr>
          <w:rFonts w:ascii="Verdana" w:hAnsi="Verdana"/>
          <w:color w:val="000000" w:themeColor="text1"/>
          <w:sz w:val="20"/>
        </w:rPr>
        <w:t>392</w:t>
      </w:r>
      <w:r w:rsidR="0065285E">
        <w:rPr>
          <w:rFonts w:ascii="Verdana" w:hAnsi="Verdana"/>
          <w:color w:val="000000" w:themeColor="text1"/>
          <w:sz w:val="20"/>
        </w:rPr>
        <w:t xml:space="preserve"> </w:t>
      </w:r>
      <w:r w:rsidR="0065285E" w:rsidRPr="008D016C">
        <w:rPr>
          <w:rFonts w:ascii="Verdana" w:hAnsi="Verdana"/>
          <w:color w:val="000000" w:themeColor="text1"/>
          <w:sz w:val="20"/>
        </w:rPr>
        <w:t>драма</w:t>
      </w:r>
      <w:r w:rsidR="0065285E" w:rsidRPr="0065285E">
        <w:rPr>
          <w:rFonts w:ascii="Verdana" w:hAnsi="Verdana"/>
          <w:color w:val="000000" w:themeColor="text1"/>
          <w:sz w:val="20"/>
        </w:rPr>
        <w:t xml:space="preserve"> </w:t>
      </w:r>
      <w:r w:rsidR="001A6A55">
        <w:rPr>
          <w:rFonts w:ascii="Verdana" w:hAnsi="Verdana"/>
          <w:sz w:val="20"/>
          <w:lang w:eastAsia="en-US"/>
        </w:rPr>
        <w:t>за</w:t>
      </w:r>
      <w:r w:rsidR="0065285E">
        <w:rPr>
          <w:rFonts w:ascii="Verdana" w:hAnsi="Verdana"/>
          <w:sz w:val="20"/>
          <w:lang w:eastAsia="en-US"/>
        </w:rPr>
        <w:t xml:space="preserve"> долл</w:t>
      </w:r>
      <w:r w:rsidR="003A3B68">
        <w:rPr>
          <w:rFonts w:ascii="Verdana" w:hAnsi="Verdana"/>
          <w:sz w:val="20"/>
          <w:lang w:eastAsia="en-US"/>
        </w:rPr>
        <w:t>ар</w:t>
      </w:r>
      <w:r w:rsidR="0065285E">
        <w:rPr>
          <w:rFonts w:ascii="Verdana" w:hAnsi="Verdana"/>
          <w:sz w:val="20"/>
          <w:lang w:eastAsia="en-US"/>
        </w:rPr>
        <w:t>.</w:t>
      </w:r>
      <w:r w:rsidR="00CF4352" w:rsidRPr="008D016C">
        <w:rPr>
          <w:rFonts w:ascii="Verdana" w:hAnsi="Verdana"/>
          <w:color w:val="000000" w:themeColor="text1"/>
          <w:sz w:val="20"/>
        </w:rPr>
        <w:t xml:space="preserve"> Поддержку курсу окаж</w:t>
      </w:r>
      <w:r w:rsidR="00F809FC">
        <w:rPr>
          <w:rFonts w:ascii="Verdana" w:hAnsi="Verdana"/>
          <w:color w:val="000000" w:themeColor="text1"/>
          <w:sz w:val="20"/>
        </w:rPr>
        <w:t>е</w:t>
      </w:r>
      <w:r w:rsidR="00CF4352" w:rsidRPr="008D016C">
        <w:rPr>
          <w:rFonts w:ascii="Verdana" w:hAnsi="Verdana"/>
          <w:color w:val="000000" w:themeColor="text1"/>
          <w:sz w:val="20"/>
        </w:rPr>
        <w:t>т рост поступлений от экспор</w:t>
      </w:r>
      <w:r w:rsidR="00F809FC">
        <w:rPr>
          <w:rFonts w:ascii="Verdana" w:hAnsi="Verdana"/>
          <w:color w:val="000000" w:themeColor="text1"/>
          <w:sz w:val="20"/>
        </w:rPr>
        <w:t>та туристических услуг и приток</w:t>
      </w:r>
      <w:r w:rsidR="00CF4352" w:rsidRPr="008D016C">
        <w:rPr>
          <w:rFonts w:ascii="Verdana" w:hAnsi="Verdana"/>
          <w:color w:val="000000" w:themeColor="text1"/>
          <w:sz w:val="20"/>
        </w:rPr>
        <w:t xml:space="preserve"> денежных переводов.</w:t>
      </w:r>
    </w:p>
    <w:p w14:paraId="077B2936" w14:textId="1CC07A50" w:rsidR="00D93D30" w:rsidRPr="009472DF" w:rsidRDefault="00BF4E45" w:rsidP="00FD708D">
      <w:pPr>
        <w:pStyle w:val="ArialRegular12pt"/>
        <w:spacing w:before="120" w:after="120" w:line="240" w:lineRule="auto"/>
        <w:rPr>
          <w:rFonts w:ascii="Verdana" w:hAnsi="Verdana"/>
          <w:sz w:val="20"/>
          <w:lang w:eastAsia="en-US"/>
        </w:rPr>
      </w:pPr>
      <w:r w:rsidRPr="008D016C">
        <w:rPr>
          <w:rFonts w:ascii="Verdana" w:hAnsi="Verdana"/>
          <w:sz w:val="20"/>
          <w:lang w:eastAsia="en-US"/>
        </w:rPr>
        <w:t xml:space="preserve">Прогноз роста ВВП </w:t>
      </w:r>
      <w:r w:rsidR="00FD708D" w:rsidRPr="008D016C">
        <w:rPr>
          <w:rFonts w:ascii="Verdana" w:hAnsi="Verdana"/>
          <w:sz w:val="20"/>
          <w:lang w:eastAsia="en-US"/>
        </w:rPr>
        <w:t xml:space="preserve">Беларуси </w:t>
      </w:r>
      <w:r w:rsidRPr="008D016C">
        <w:rPr>
          <w:rFonts w:ascii="Verdana" w:hAnsi="Verdana"/>
          <w:sz w:val="20"/>
          <w:lang w:eastAsia="en-US"/>
        </w:rPr>
        <w:t>на</w:t>
      </w:r>
      <w:r w:rsidR="00FD708D" w:rsidRPr="008D016C">
        <w:rPr>
          <w:rFonts w:ascii="Verdana" w:hAnsi="Verdana"/>
          <w:sz w:val="20"/>
          <w:lang w:eastAsia="en-US"/>
        </w:rPr>
        <w:t xml:space="preserve"> 2025 г</w:t>
      </w:r>
      <w:r w:rsidR="003A3B68">
        <w:rPr>
          <w:rFonts w:ascii="Verdana" w:hAnsi="Verdana"/>
          <w:sz w:val="20"/>
          <w:lang w:eastAsia="en-US"/>
        </w:rPr>
        <w:t>од</w:t>
      </w:r>
      <w:r w:rsidR="00FD708D" w:rsidRPr="008D016C">
        <w:rPr>
          <w:rFonts w:ascii="Verdana" w:hAnsi="Verdana"/>
          <w:sz w:val="20"/>
          <w:lang w:eastAsia="en-US"/>
        </w:rPr>
        <w:t xml:space="preserve"> повышен </w:t>
      </w:r>
      <w:r w:rsidR="00FF25D1">
        <w:rPr>
          <w:rFonts w:ascii="Verdana" w:hAnsi="Verdana"/>
          <w:sz w:val="20"/>
          <w:lang w:eastAsia="en-US"/>
        </w:rPr>
        <w:t>на 0,4 п.</w:t>
      </w:r>
      <w:r w:rsidR="003A3B68">
        <w:rPr>
          <w:rFonts w:ascii="Verdana" w:hAnsi="Verdana"/>
          <w:sz w:val="20"/>
          <w:lang w:eastAsia="en-US"/>
        </w:rPr>
        <w:t xml:space="preserve"> </w:t>
      </w:r>
      <w:r w:rsidR="00FF25D1">
        <w:rPr>
          <w:rFonts w:ascii="Verdana" w:hAnsi="Verdana"/>
          <w:sz w:val="20"/>
          <w:lang w:eastAsia="en-US"/>
        </w:rPr>
        <w:t>п.</w:t>
      </w:r>
      <w:r w:rsidR="003A3B68">
        <w:rPr>
          <w:rFonts w:ascii="Verdana" w:hAnsi="Verdana"/>
          <w:sz w:val="20"/>
          <w:lang w:eastAsia="en-US"/>
        </w:rPr>
        <w:t>,</w:t>
      </w:r>
      <w:r w:rsidR="00FF25D1">
        <w:rPr>
          <w:rFonts w:ascii="Verdana" w:hAnsi="Verdana"/>
          <w:sz w:val="20"/>
          <w:lang w:eastAsia="en-US"/>
        </w:rPr>
        <w:t xml:space="preserve"> </w:t>
      </w:r>
      <w:r w:rsidR="00FD708D" w:rsidRPr="008D016C">
        <w:rPr>
          <w:rFonts w:ascii="Verdana" w:hAnsi="Verdana"/>
          <w:sz w:val="20"/>
          <w:lang w:eastAsia="en-US"/>
        </w:rPr>
        <w:t>до 3%</w:t>
      </w:r>
      <w:r w:rsidR="003A3B68">
        <w:rPr>
          <w:rFonts w:ascii="Verdana" w:hAnsi="Verdana"/>
          <w:sz w:val="20"/>
          <w:lang w:eastAsia="en-US"/>
        </w:rPr>
        <w:t>,</w:t>
      </w:r>
      <w:r w:rsidR="00FD708D" w:rsidRPr="008D016C">
        <w:rPr>
          <w:rFonts w:ascii="Verdana" w:hAnsi="Verdana"/>
          <w:sz w:val="20"/>
          <w:lang w:eastAsia="en-US"/>
        </w:rPr>
        <w:t xml:space="preserve"> </w:t>
      </w:r>
      <w:r w:rsidRPr="008D016C">
        <w:rPr>
          <w:rFonts w:ascii="Verdana" w:hAnsi="Verdana"/>
          <w:sz w:val="20"/>
          <w:lang w:eastAsia="en-US"/>
        </w:rPr>
        <w:t xml:space="preserve">благодаря </w:t>
      </w:r>
      <w:r w:rsidR="00FD708D" w:rsidRPr="008D016C">
        <w:rPr>
          <w:rFonts w:ascii="Verdana" w:hAnsi="Verdana"/>
          <w:sz w:val="20"/>
          <w:lang w:eastAsia="en-US"/>
        </w:rPr>
        <w:t>сильны</w:t>
      </w:r>
      <w:r w:rsidRPr="008D016C">
        <w:rPr>
          <w:rFonts w:ascii="Verdana" w:hAnsi="Verdana"/>
          <w:sz w:val="20"/>
          <w:lang w:eastAsia="en-US"/>
        </w:rPr>
        <w:t>м результатам</w:t>
      </w:r>
      <w:r w:rsidR="00FD708D" w:rsidRPr="008D016C">
        <w:rPr>
          <w:rFonts w:ascii="Verdana" w:hAnsi="Verdana"/>
          <w:sz w:val="20"/>
          <w:lang w:eastAsia="en-US"/>
        </w:rPr>
        <w:t xml:space="preserve"> начала года и ожидаемо</w:t>
      </w:r>
      <w:r w:rsidRPr="008D016C">
        <w:rPr>
          <w:rFonts w:ascii="Verdana" w:hAnsi="Verdana"/>
          <w:sz w:val="20"/>
          <w:lang w:eastAsia="en-US"/>
        </w:rPr>
        <w:t>му</w:t>
      </w:r>
      <w:r w:rsidR="00FD708D" w:rsidRPr="008D016C">
        <w:rPr>
          <w:rFonts w:ascii="Verdana" w:hAnsi="Verdana"/>
          <w:sz w:val="20"/>
          <w:lang w:eastAsia="en-US"/>
        </w:rPr>
        <w:t xml:space="preserve"> </w:t>
      </w:r>
      <w:r w:rsidR="005C7E00">
        <w:rPr>
          <w:rFonts w:ascii="Verdana" w:hAnsi="Verdana"/>
          <w:sz w:val="20"/>
          <w:lang w:eastAsia="en-US"/>
        </w:rPr>
        <w:t>расширению кредитной</w:t>
      </w:r>
      <w:r w:rsidR="00FD708D" w:rsidRPr="008D016C">
        <w:rPr>
          <w:rFonts w:ascii="Verdana" w:hAnsi="Verdana"/>
          <w:sz w:val="20"/>
          <w:lang w:eastAsia="en-US"/>
        </w:rPr>
        <w:t xml:space="preserve"> поддержки инвестиций.</w:t>
      </w:r>
      <w:r w:rsidRPr="008D016C">
        <w:rPr>
          <w:rFonts w:ascii="Verdana" w:hAnsi="Verdana"/>
          <w:sz w:val="20"/>
          <w:lang w:eastAsia="en-US"/>
        </w:rPr>
        <w:t xml:space="preserve"> </w:t>
      </w:r>
      <w:r w:rsidR="00CB1951" w:rsidRPr="008D016C">
        <w:rPr>
          <w:rFonts w:ascii="Verdana" w:hAnsi="Verdana"/>
          <w:sz w:val="20"/>
          <w:lang w:eastAsia="en-US"/>
        </w:rPr>
        <w:t>И</w:t>
      </w:r>
      <w:r w:rsidR="00385646" w:rsidRPr="008D016C">
        <w:rPr>
          <w:rFonts w:ascii="Verdana" w:hAnsi="Verdana"/>
          <w:sz w:val="20"/>
        </w:rPr>
        <w:t>нфляция</w:t>
      </w:r>
      <w:r w:rsidR="005D1771" w:rsidRPr="008D016C">
        <w:rPr>
          <w:rFonts w:ascii="Verdana" w:hAnsi="Verdana"/>
          <w:sz w:val="20"/>
        </w:rPr>
        <w:t xml:space="preserve"> в </w:t>
      </w:r>
      <w:r w:rsidR="005D1771" w:rsidRPr="008D016C">
        <w:rPr>
          <w:rFonts w:ascii="Verdana" w:hAnsi="Verdana"/>
          <w:sz w:val="20"/>
          <w:lang w:eastAsia="en-US"/>
        </w:rPr>
        <w:t>Беларуси</w:t>
      </w:r>
      <w:r w:rsidR="00385646" w:rsidRPr="008D016C">
        <w:rPr>
          <w:rFonts w:ascii="Verdana" w:hAnsi="Verdana"/>
          <w:sz w:val="20"/>
        </w:rPr>
        <w:t xml:space="preserve"> ускорится до 7,7% из-за давления со стороны внутреннего спроса, а также повышенной инфляции в России и постепенного </w:t>
      </w:r>
      <w:r w:rsidR="00FF25D1">
        <w:rPr>
          <w:rFonts w:ascii="Verdana" w:hAnsi="Verdana"/>
          <w:sz w:val="20"/>
        </w:rPr>
        <w:t>смягчение</w:t>
      </w:r>
      <w:r w:rsidR="00385646" w:rsidRPr="008D016C">
        <w:rPr>
          <w:rFonts w:ascii="Verdana" w:hAnsi="Verdana"/>
          <w:sz w:val="20"/>
        </w:rPr>
        <w:t xml:space="preserve"> административного регулирования. </w:t>
      </w:r>
      <w:r w:rsidRPr="008D016C">
        <w:rPr>
          <w:rFonts w:ascii="Verdana" w:hAnsi="Verdana"/>
          <w:sz w:val="20"/>
          <w:lang w:eastAsia="en-US"/>
        </w:rPr>
        <w:t>Средний курс белорусского рубля</w:t>
      </w:r>
      <w:r w:rsidR="0065285E">
        <w:rPr>
          <w:rFonts w:ascii="Verdana" w:hAnsi="Verdana"/>
          <w:sz w:val="20"/>
          <w:lang w:eastAsia="en-US"/>
        </w:rPr>
        <w:t xml:space="preserve"> </w:t>
      </w:r>
      <w:r w:rsidRPr="008D016C">
        <w:rPr>
          <w:rFonts w:ascii="Verdana" w:hAnsi="Verdana"/>
          <w:sz w:val="20"/>
          <w:lang w:eastAsia="en-US"/>
        </w:rPr>
        <w:t>в 2025 г</w:t>
      </w:r>
      <w:r w:rsidR="008A1A39">
        <w:rPr>
          <w:rFonts w:ascii="Verdana" w:hAnsi="Verdana"/>
          <w:sz w:val="20"/>
          <w:lang w:eastAsia="en-US"/>
        </w:rPr>
        <w:t>оду</w:t>
      </w:r>
      <w:r w:rsidRPr="008D016C">
        <w:rPr>
          <w:rFonts w:ascii="Verdana" w:hAnsi="Verdana"/>
          <w:sz w:val="20"/>
          <w:lang w:eastAsia="en-US"/>
        </w:rPr>
        <w:t xml:space="preserve"> прогнозируется </w:t>
      </w:r>
      <w:r w:rsidR="0062476D">
        <w:rPr>
          <w:rFonts w:ascii="Verdana" w:hAnsi="Verdana"/>
          <w:sz w:val="20"/>
          <w:lang w:eastAsia="en-US"/>
        </w:rPr>
        <w:t xml:space="preserve">на уровне </w:t>
      </w:r>
      <w:r w:rsidRPr="008D016C">
        <w:rPr>
          <w:rFonts w:ascii="Verdana" w:hAnsi="Verdana"/>
          <w:sz w:val="20"/>
          <w:lang w:eastAsia="en-US"/>
        </w:rPr>
        <w:t>3,28</w:t>
      </w:r>
      <w:r w:rsidR="00C66DE3" w:rsidRPr="00C66DE3">
        <w:t xml:space="preserve"> </w:t>
      </w:r>
      <w:proofErr w:type="spellStart"/>
      <w:r w:rsidR="00C66DE3">
        <w:rPr>
          <w:rFonts w:ascii="Verdana" w:hAnsi="Verdana"/>
          <w:sz w:val="20"/>
          <w:lang w:eastAsia="en-US"/>
        </w:rPr>
        <w:t>бел.</w:t>
      </w:r>
      <w:r w:rsidR="00C66DE3" w:rsidRPr="008D016C">
        <w:rPr>
          <w:rFonts w:ascii="Verdana" w:hAnsi="Verdana"/>
          <w:sz w:val="20"/>
          <w:lang w:eastAsia="en-US"/>
        </w:rPr>
        <w:t>руб</w:t>
      </w:r>
      <w:proofErr w:type="spellEnd"/>
      <w:r w:rsidR="00C66DE3">
        <w:rPr>
          <w:rFonts w:ascii="Verdana" w:hAnsi="Verdana"/>
          <w:sz w:val="20"/>
          <w:lang w:eastAsia="en-US"/>
        </w:rPr>
        <w:t>./</w:t>
      </w:r>
      <w:r w:rsidR="00C66DE3" w:rsidRPr="009472DF">
        <w:rPr>
          <w:rFonts w:ascii="Verdana" w:hAnsi="Verdana"/>
          <w:sz w:val="20"/>
          <w:lang w:eastAsia="en-US"/>
        </w:rPr>
        <w:t>долл</w:t>
      </w:r>
      <w:r w:rsidRPr="008D016C">
        <w:rPr>
          <w:rFonts w:ascii="Verdana" w:hAnsi="Verdana"/>
          <w:sz w:val="20"/>
          <w:lang w:eastAsia="en-US"/>
        </w:rPr>
        <w:t>.</w:t>
      </w:r>
      <w:r w:rsidR="000D14AD" w:rsidRPr="008D016C">
        <w:rPr>
          <w:rFonts w:ascii="Verdana" w:hAnsi="Verdana"/>
          <w:sz w:val="20"/>
          <w:lang w:eastAsia="en-US"/>
        </w:rPr>
        <w:t xml:space="preserve"> </w:t>
      </w:r>
      <w:r w:rsidR="009472DF">
        <w:rPr>
          <w:rFonts w:ascii="Verdana" w:hAnsi="Verdana"/>
          <w:sz w:val="20"/>
          <w:lang w:eastAsia="en-US"/>
        </w:rPr>
        <w:t>О</w:t>
      </w:r>
      <w:r w:rsidR="009472DF" w:rsidRPr="009472DF">
        <w:rPr>
          <w:rFonts w:ascii="Verdana" w:hAnsi="Verdana"/>
          <w:sz w:val="20"/>
          <w:lang w:eastAsia="en-US"/>
        </w:rPr>
        <w:t xml:space="preserve">слаблению </w:t>
      </w:r>
      <w:r w:rsidR="009472DF">
        <w:rPr>
          <w:rFonts w:ascii="Verdana" w:hAnsi="Verdana"/>
          <w:sz w:val="20"/>
          <w:lang w:eastAsia="en-US"/>
        </w:rPr>
        <w:t xml:space="preserve">курса </w:t>
      </w:r>
      <w:r w:rsidR="009472DF" w:rsidRPr="009472DF">
        <w:rPr>
          <w:rFonts w:ascii="Verdana" w:hAnsi="Verdana"/>
          <w:sz w:val="20"/>
          <w:lang w:eastAsia="en-US"/>
        </w:rPr>
        <w:t>во второй половине 2025 г</w:t>
      </w:r>
      <w:r w:rsidR="008A1A39">
        <w:rPr>
          <w:rFonts w:ascii="Verdana" w:hAnsi="Verdana"/>
          <w:sz w:val="20"/>
          <w:lang w:eastAsia="en-US"/>
        </w:rPr>
        <w:t>ода</w:t>
      </w:r>
      <w:r w:rsidR="009472DF" w:rsidRPr="009472DF">
        <w:rPr>
          <w:rFonts w:ascii="Verdana" w:hAnsi="Verdana"/>
          <w:sz w:val="20"/>
          <w:lang w:eastAsia="en-US"/>
        </w:rPr>
        <w:t xml:space="preserve"> по сравнению с текущими уровнями будет способствовать дефицит внешней торговли и прогнозируемое возвращение к концу года курса российского рубля к доллару выше 90 российских рублей за доллар.</w:t>
      </w:r>
    </w:p>
    <w:p w14:paraId="077B2937" w14:textId="77777777" w:rsidR="00FD708D" w:rsidRPr="008D016C" w:rsidRDefault="00BF4E45" w:rsidP="00FD708D">
      <w:pPr>
        <w:pStyle w:val="ArialRegular12pt"/>
        <w:spacing w:before="120" w:after="120" w:line="240" w:lineRule="auto"/>
        <w:rPr>
          <w:rFonts w:ascii="Verdana" w:hAnsi="Verdana"/>
          <w:sz w:val="20"/>
          <w:lang w:eastAsia="en-US"/>
        </w:rPr>
      </w:pPr>
      <w:r w:rsidRPr="008D016C">
        <w:rPr>
          <w:rFonts w:ascii="Verdana" w:hAnsi="Verdana"/>
          <w:sz w:val="20"/>
          <w:lang w:eastAsia="en-US"/>
        </w:rPr>
        <w:t>Аналитики ЕАБР ожидают ускорения роста экономики Казахстана до 5,5% в 2025 г</w:t>
      </w:r>
      <w:r w:rsidR="00D26241">
        <w:rPr>
          <w:rFonts w:ascii="Verdana" w:hAnsi="Verdana"/>
          <w:sz w:val="20"/>
          <w:lang w:eastAsia="en-US"/>
        </w:rPr>
        <w:t>оду</w:t>
      </w:r>
      <w:r w:rsidRPr="008D016C">
        <w:rPr>
          <w:rFonts w:ascii="Verdana" w:hAnsi="Verdana"/>
          <w:sz w:val="20"/>
          <w:lang w:eastAsia="en-US"/>
        </w:rPr>
        <w:t xml:space="preserve"> после 4,8% в 2024 г</w:t>
      </w:r>
      <w:r w:rsidR="00D26241">
        <w:rPr>
          <w:rFonts w:ascii="Verdana" w:hAnsi="Verdana"/>
          <w:sz w:val="20"/>
          <w:lang w:eastAsia="en-US"/>
        </w:rPr>
        <w:t>оду</w:t>
      </w:r>
      <w:r w:rsidRPr="008D016C">
        <w:rPr>
          <w:rFonts w:ascii="Verdana" w:hAnsi="Verdana"/>
          <w:sz w:val="20"/>
          <w:lang w:eastAsia="en-US"/>
        </w:rPr>
        <w:t>. Масштабные меры поддержки инвестиционных проектов, объем финансирования которых запланирован на уровне 6% ВВП, с запасом нивелируют отрицательные эф</w:t>
      </w:r>
      <w:r w:rsidR="00D63962" w:rsidRPr="008D016C">
        <w:rPr>
          <w:rFonts w:ascii="Verdana" w:hAnsi="Verdana"/>
          <w:sz w:val="20"/>
          <w:lang w:eastAsia="en-US"/>
        </w:rPr>
        <w:t>фекты внешних шоков. Р</w:t>
      </w:r>
      <w:r w:rsidRPr="008D016C">
        <w:rPr>
          <w:rFonts w:ascii="Verdana" w:hAnsi="Verdana"/>
          <w:sz w:val="20"/>
          <w:lang w:eastAsia="en-US"/>
        </w:rPr>
        <w:t xml:space="preserve">ост экономики </w:t>
      </w:r>
      <w:r w:rsidR="00D63962" w:rsidRPr="008D016C">
        <w:rPr>
          <w:rFonts w:ascii="Verdana" w:hAnsi="Verdana"/>
          <w:sz w:val="20"/>
          <w:lang w:eastAsia="en-US"/>
        </w:rPr>
        <w:t xml:space="preserve">поддержат </w:t>
      </w:r>
      <w:r w:rsidRPr="008D016C">
        <w:rPr>
          <w:rFonts w:ascii="Verdana" w:hAnsi="Verdana"/>
          <w:sz w:val="20"/>
          <w:lang w:eastAsia="en-US"/>
        </w:rPr>
        <w:t xml:space="preserve">стимулирующая бюджетная политика, рост нефтедобычи и государственные инициативы, сосредоточенные на развитии регионов и создании инфраструктуры. </w:t>
      </w:r>
      <w:r w:rsidRPr="008D016C">
        <w:rPr>
          <w:rFonts w:ascii="Verdana" w:hAnsi="Verdana"/>
          <w:sz w:val="20"/>
        </w:rPr>
        <w:t>Сильный потребительский спрос и повышение тарифов на жилищно-коммунальные услуги у</w:t>
      </w:r>
      <w:r w:rsidR="00D63962" w:rsidRPr="008D016C">
        <w:rPr>
          <w:rFonts w:ascii="Verdana" w:hAnsi="Verdana"/>
          <w:sz w:val="20"/>
        </w:rPr>
        <w:t>скоря</w:t>
      </w:r>
      <w:r w:rsidRPr="008D016C">
        <w:rPr>
          <w:rFonts w:ascii="Verdana" w:hAnsi="Verdana"/>
          <w:sz w:val="20"/>
        </w:rPr>
        <w:t>т рост цен в Казахстане до 11,9% в 2025 г</w:t>
      </w:r>
      <w:r w:rsidR="00D26241">
        <w:rPr>
          <w:rFonts w:ascii="Verdana" w:hAnsi="Verdana"/>
          <w:sz w:val="20"/>
        </w:rPr>
        <w:t>оду</w:t>
      </w:r>
      <w:r w:rsidRPr="008D016C">
        <w:rPr>
          <w:rFonts w:ascii="Verdana" w:hAnsi="Verdana"/>
          <w:sz w:val="20"/>
        </w:rPr>
        <w:t xml:space="preserve">. </w:t>
      </w:r>
      <w:r w:rsidR="00D63962" w:rsidRPr="008D016C">
        <w:rPr>
          <w:rFonts w:ascii="Verdana" w:hAnsi="Verdana"/>
          <w:sz w:val="20"/>
        </w:rPr>
        <w:t>По прогнозам аналитиков ЕАБР,</w:t>
      </w:r>
      <w:r w:rsidR="00D63962" w:rsidRPr="008D016C">
        <w:rPr>
          <w:rFonts w:ascii="Verdana" w:hAnsi="Verdana"/>
          <w:sz w:val="20"/>
          <w:lang w:eastAsia="en-US"/>
        </w:rPr>
        <w:t xml:space="preserve"> </w:t>
      </w:r>
      <w:r w:rsidR="00624255" w:rsidRPr="008D016C">
        <w:rPr>
          <w:rFonts w:ascii="Verdana" w:hAnsi="Verdana"/>
          <w:sz w:val="20"/>
          <w:lang w:eastAsia="en-US"/>
        </w:rPr>
        <w:t xml:space="preserve">курс тенге </w:t>
      </w:r>
      <w:r w:rsidR="00D26241">
        <w:rPr>
          <w:rFonts w:ascii="Verdana" w:hAnsi="Verdana"/>
          <w:sz w:val="20"/>
          <w:lang w:eastAsia="en-US"/>
        </w:rPr>
        <w:t>будет</w:t>
      </w:r>
      <w:r w:rsidR="00D26241" w:rsidRPr="008D016C">
        <w:rPr>
          <w:rFonts w:ascii="Verdana" w:hAnsi="Verdana"/>
          <w:sz w:val="20"/>
          <w:lang w:eastAsia="en-US"/>
        </w:rPr>
        <w:t xml:space="preserve"> </w:t>
      </w:r>
      <w:r w:rsidR="00624255" w:rsidRPr="008D016C">
        <w:rPr>
          <w:rFonts w:ascii="Verdana" w:hAnsi="Verdana"/>
          <w:sz w:val="20"/>
          <w:lang w:eastAsia="en-US"/>
        </w:rPr>
        <w:t>стабильным в оставшейся части 2025 г</w:t>
      </w:r>
      <w:r w:rsidR="00D26241">
        <w:rPr>
          <w:rFonts w:ascii="Verdana" w:hAnsi="Verdana"/>
          <w:sz w:val="20"/>
          <w:lang w:eastAsia="en-US"/>
        </w:rPr>
        <w:t>ода</w:t>
      </w:r>
      <w:r w:rsidR="00624255" w:rsidRPr="008D016C">
        <w:rPr>
          <w:rFonts w:ascii="Verdana" w:hAnsi="Verdana"/>
          <w:sz w:val="20"/>
          <w:lang w:eastAsia="en-US"/>
        </w:rPr>
        <w:t xml:space="preserve"> и на конец года составит 515 тенге за долл</w:t>
      </w:r>
      <w:r w:rsidR="00D26241">
        <w:rPr>
          <w:rFonts w:ascii="Verdana" w:hAnsi="Verdana"/>
          <w:sz w:val="20"/>
          <w:lang w:eastAsia="en-US"/>
        </w:rPr>
        <w:t>ар</w:t>
      </w:r>
      <w:r w:rsidR="00624255" w:rsidRPr="008D016C">
        <w:rPr>
          <w:rFonts w:ascii="Verdana" w:hAnsi="Verdana"/>
          <w:sz w:val="20"/>
          <w:lang w:eastAsia="en-US"/>
        </w:rPr>
        <w:t xml:space="preserve">, а в среднем по году </w:t>
      </w:r>
      <w:r w:rsidR="00D26241">
        <w:rPr>
          <w:rFonts w:ascii="Verdana" w:hAnsi="Verdana"/>
          <w:sz w:val="20"/>
          <w:lang w:eastAsia="en-US"/>
        </w:rPr>
        <w:t>—</w:t>
      </w:r>
      <w:r w:rsidR="00624255" w:rsidRPr="008D016C">
        <w:rPr>
          <w:rFonts w:ascii="Verdana" w:hAnsi="Verdana"/>
          <w:sz w:val="20"/>
          <w:lang w:eastAsia="en-US"/>
        </w:rPr>
        <w:t xml:space="preserve"> 513</w:t>
      </w:r>
      <w:r w:rsidR="0065285E">
        <w:rPr>
          <w:rFonts w:ascii="Verdana" w:hAnsi="Verdana"/>
          <w:sz w:val="20"/>
          <w:lang w:eastAsia="en-US"/>
        </w:rPr>
        <w:t xml:space="preserve"> тенге/</w:t>
      </w:r>
      <w:r w:rsidR="0065285E" w:rsidRPr="008D016C">
        <w:rPr>
          <w:rFonts w:ascii="Verdana" w:hAnsi="Verdana"/>
          <w:sz w:val="20"/>
          <w:lang w:eastAsia="en-US"/>
        </w:rPr>
        <w:t>долл</w:t>
      </w:r>
      <w:r w:rsidR="00624255" w:rsidRPr="008D016C">
        <w:rPr>
          <w:rFonts w:ascii="Verdana" w:hAnsi="Verdana"/>
          <w:sz w:val="20"/>
          <w:lang w:eastAsia="en-US"/>
        </w:rPr>
        <w:t xml:space="preserve">. </w:t>
      </w:r>
      <w:r w:rsidR="009472DF" w:rsidRPr="009472DF">
        <w:rPr>
          <w:rFonts w:ascii="Verdana" w:hAnsi="Verdana"/>
          <w:sz w:val="20"/>
          <w:lang w:eastAsia="en-US"/>
        </w:rPr>
        <w:t>Факторами поддержки обменного курса выступят высокая базовая ставка и прогнозируемый во втором полугодии рост экспорта нефти в связи с запуском проекта расширения месторождения Тенгиз.</w:t>
      </w:r>
    </w:p>
    <w:p w14:paraId="077B2938" w14:textId="77777777" w:rsidR="00A07122" w:rsidRPr="008D016C" w:rsidRDefault="00BF4E45" w:rsidP="00A07122">
      <w:pPr>
        <w:pStyle w:val="ArialRegular12pt"/>
        <w:spacing w:before="120" w:after="120" w:line="240" w:lineRule="auto"/>
        <w:rPr>
          <w:rFonts w:ascii="Verdana" w:hAnsi="Verdana"/>
          <w:sz w:val="20"/>
          <w:lang w:eastAsia="en-US"/>
        </w:rPr>
      </w:pPr>
      <w:r w:rsidRPr="008D016C">
        <w:rPr>
          <w:rFonts w:ascii="Verdana" w:hAnsi="Verdana"/>
          <w:sz w:val="20"/>
          <w:lang w:eastAsia="en-US"/>
        </w:rPr>
        <w:t>Растущие цены на золото, увеличение потребления домохозяйств и сильный инвестиционный спрос отразились в повышении прогноза для Кыргызстана на 1,6 п.</w:t>
      </w:r>
      <w:r w:rsidR="00E16BC3">
        <w:rPr>
          <w:rFonts w:ascii="Verdana" w:hAnsi="Verdana"/>
          <w:sz w:val="20"/>
          <w:lang w:eastAsia="en-US"/>
        </w:rPr>
        <w:t xml:space="preserve"> </w:t>
      </w:r>
      <w:r w:rsidRPr="008D016C">
        <w:rPr>
          <w:rFonts w:ascii="Verdana" w:hAnsi="Verdana"/>
          <w:sz w:val="20"/>
          <w:lang w:eastAsia="en-US"/>
        </w:rPr>
        <w:t>п.</w:t>
      </w:r>
      <w:r w:rsidR="005D1771" w:rsidRPr="008D016C">
        <w:rPr>
          <w:rFonts w:ascii="Verdana" w:hAnsi="Verdana"/>
          <w:sz w:val="20"/>
          <w:lang w:eastAsia="en-US"/>
        </w:rPr>
        <w:t>:</w:t>
      </w:r>
      <w:r w:rsidRPr="008D016C">
        <w:rPr>
          <w:rFonts w:ascii="Verdana" w:hAnsi="Verdana"/>
          <w:sz w:val="20"/>
          <w:lang w:eastAsia="en-US"/>
        </w:rPr>
        <w:t xml:space="preserve"> </w:t>
      </w:r>
      <w:r w:rsidR="005D1771" w:rsidRPr="008D016C">
        <w:rPr>
          <w:rFonts w:ascii="Verdana" w:hAnsi="Verdana"/>
          <w:sz w:val="20"/>
          <w:lang w:eastAsia="en-US"/>
        </w:rPr>
        <w:t>р</w:t>
      </w:r>
      <w:r w:rsidRPr="008D016C">
        <w:rPr>
          <w:rFonts w:ascii="Verdana" w:hAnsi="Verdana"/>
          <w:sz w:val="20"/>
          <w:lang w:eastAsia="en-US"/>
        </w:rPr>
        <w:t>ост ВВП в 2025 г</w:t>
      </w:r>
      <w:r w:rsidR="00E16BC3">
        <w:rPr>
          <w:rFonts w:ascii="Verdana" w:hAnsi="Verdana"/>
          <w:sz w:val="20"/>
          <w:lang w:eastAsia="en-US"/>
        </w:rPr>
        <w:t>оду</w:t>
      </w:r>
      <w:r w:rsidRPr="008D016C">
        <w:rPr>
          <w:rFonts w:ascii="Verdana" w:hAnsi="Verdana"/>
          <w:sz w:val="20"/>
          <w:lang w:eastAsia="en-US"/>
        </w:rPr>
        <w:t xml:space="preserve"> ожидается в размере 10,3%. Инфляция по итогам </w:t>
      </w:r>
      <w:r w:rsidR="00262B22" w:rsidRPr="008D016C">
        <w:rPr>
          <w:rFonts w:ascii="Verdana" w:hAnsi="Verdana"/>
          <w:sz w:val="20"/>
          <w:lang w:eastAsia="en-US"/>
        </w:rPr>
        <w:t>года</w:t>
      </w:r>
      <w:r w:rsidRPr="008D016C">
        <w:rPr>
          <w:rFonts w:ascii="Verdana" w:hAnsi="Verdana"/>
          <w:sz w:val="20"/>
          <w:lang w:eastAsia="en-US"/>
        </w:rPr>
        <w:t xml:space="preserve"> </w:t>
      </w:r>
      <w:r w:rsidR="003C2DD8" w:rsidRPr="008D016C">
        <w:rPr>
          <w:rFonts w:ascii="Verdana" w:hAnsi="Verdana"/>
          <w:sz w:val="20"/>
          <w:lang w:eastAsia="en-US"/>
        </w:rPr>
        <w:t>оценивается</w:t>
      </w:r>
      <w:r w:rsidRPr="008D016C">
        <w:rPr>
          <w:rFonts w:ascii="Verdana" w:hAnsi="Verdana"/>
          <w:sz w:val="20"/>
          <w:lang w:eastAsia="en-US"/>
        </w:rPr>
        <w:t xml:space="preserve"> вблизи целевого ориентира </w:t>
      </w:r>
      <w:r w:rsidR="00E16BC3">
        <w:rPr>
          <w:rFonts w:ascii="Verdana" w:hAnsi="Verdana"/>
          <w:sz w:val="20"/>
          <w:lang w:eastAsia="en-US"/>
        </w:rPr>
        <w:t>—</w:t>
      </w:r>
      <w:r w:rsidRPr="008D016C">
        <w:rPr>
          <w:rFonts w:ascii="Verdana" w:hAnsi="Verdana"/>
          <w:sz w:val="20"/>
          <w:lang w:eastAsia="en-US"/>
        </w:rPr>
        <w:t xml:space="preserve"> 7,3% г/г</w:t>
      </w:r>
      <w:r w:rsidR="003C2DD8" w:rsidRPr="008D016C">
        <w:rPr>
          <w:rFonts w:ascii="Verdana" w:hAnsi="Verdana"/>
          <w:sz w:val="20"/>
          <w:lang w:eastAsia="en-US"/>
        </w:rPr>
        <w:t>.</w:t>
      </w:r>
      <w:r w:rsidRPr="008D016C">
        <w:rPr>
          <w:rFonts w:ascii="Verdana" w:hAnsi="Verdana"/>
          <w:sz w:val="20"/>
          <w:lang w:eastAsia="en-US"/>
        </w:rPr>
        <w:t xml:space="preserve"> </w:t>
      </w:r>
      <w:r w:rsidR="003C2DD8" w:rsidRPr="008D016C">
        <w:rPr>
          <w:rFonts w:ascii="Verdana" w:hAnsi="Verdana"/>
          <w:sz w:val="20"/>
          <w:lang w:eastAsia="en-US"/>
        </w:rPr>
        <w:t>К</w:t>
      </w:r>
      <w:r w:rsidRPr="008D016C">
        <w:rPr>
          <w:rFonts w:ascii="Verdana" w:hAnsi="Verdana"/>
          <w:sz w:val="20"/>
          <w:lang w:eastAsia="en-US"/>
        </w:rPr>
        <w:t xml:space="preserve">урс </w:t>
      </w:r>
      <w:r w:rsidRPr="005C7E00">
        <w:rPr>
          <w:rFonts w:ascii="Verdana" w:hAnsi="Verdana"/>
          <w:sz w:val="20"/>
          <w:lang w:eastAsia="en-US"/>
        </w:rPr>
        <w:t>сома</w:t>
      </w:r>
      <w:r w:rsidR="003C2DD8" w:rsidRPr="005C7E00">
        <w:rPr>
          <w:rFonts w:ascii="Verdana" w:hAnsi="Verdana"/>
          <w:sz w:val="20"/>
          <w:lang w:eastAsia="en-US"/>
        </w:rPr>
        <w:t xml:space="preserve"> в </w:t>
      </w:r>
      <w:r w:rsidR="00FF25D1" w:rsidRPr="005C7E00">
        <w:rPr>
          <w:rFonts w:ascii="Verdana" w:hAnsi="Verdana"/>
          <w:sz w:val="20"/>
          <w:lang w:eastAsia="en-US"/>
        </w:rPr>
        <w:t xml:space="preserve">оставшейся части </w:t>
      </w:r>
      <w:r w:rsidR="003C2DD8" w:rsidRPr="005C7E00">
        <w:rPr>
          <w:rFonts w:ascii="Verdana" w:hAnsi="Verdana"/>
          <w:sz w:val="20"/>
          <w:lang w:eastAsia="en-US"/>
        </w:rPr>
        <w:t>2025</w:t>
      </w:r>
      <w:r w:rsidR="003C2DD8" w:rsidRPr="008D016C">
        <w:rPr>
          <w:rFonts w:ascii="Verdana" w:hAnsi="Verdana"/>
          <w:sz w:val="20"/>
          <w:lang w:eastAsia="en-US"/>
        </w:rPr>
        <w:t xml:space="preserve"> г</w:t>
      </w:r>
      <w:r w:rsidR="00E16BC3">
        <w:rPr>
          <w:rFonts w:ascii="Verdana" w:hAnsi="Verdana"/>
          <w:sz w:val="20"/>
          <w:lang w:eastAsia="en-US"/>
        </w:rPr>
        <w:t>ода</w:t>
      </w:r>
      <w:r w:rsidR="003C2DD8" w:rsidRPr="008D016C">
        <w:rPr>
          <w:rFonts w:ascii="Verdana" w:hAnsi="Verdana"/>
          <w:sz w:val="20"/>
          <w:lang w:eastAsia="en-US"/>
        </w:rPr>
        <w:t xml:space="preserve"> </w:t>
      </w:r>
      <w:r w:rsidR="00015DC0" w:rsidRPr="008D016C">
        <w:rPr>
          <w:rFonts w:ascii="Verdana" w:hAnsi="Verdana"/>
          <w:sz w:val="20"/>
          <w:lang w:eastAsia="en-US"/>
        </w:rPr>
        <w:t>сохранится</w:t>
      </w:r>
      <w:r w:rsidR="003C2DD8" w:rsidRPr="008D016C">
        <w:rPr>
          <w:rFonts w:ascii="Verdana" w:hAnsi="Verdana"/>
          <w:sz w:val="20"/>
          <w:lang w:eastAsia="en-US"/>
        </w:rPr>
        <w:t xml:space="preserve"> </w:t>
      </w:r>
      <w:r w:rsidR="00015DC0" w:rsidRPr="008D016C">
        <w:rPr>
          <w:rFonts w:ascii="Verdana" w:hAnsi="Verdana"/>
          <w:sz w:val="20"/>
          <w:lang w:eastAsia="en-US"/>
        </w:rPr>
        <w:t>без значительных изменений</w:t>
      </w:r>
      <w:r w:rsidR="003C2DD8" w:rsidRPr="008D016C">
        <w:rPr>
          <w:rFonts w:ascii="Verdana" w:hAnsi="Verdana"/>
          <w:sz w:val="20"/>
          <w:lang w:eastAsia="en-US"/>
        </w:rPr>
        <w:t xml:space="preserve"> и составит </w:t>
      </w:r>
      <w:r w:rsidRPr="008D016C">
        <w:rPr>
          <w:rFonts w:ascii="Verdana" w:hAnsi="Verdana"/>
          <w:sz w:val="20"/>
          <w:lang w:eastAsia="en-US"/>
        </w:rPr>
        <w:t>в среднем 87,5 сом</w:t>
      </w:r>
      <w:r w:rsidR="00E16BC3">
        <w:rPr>
          <w:rFonts w:ascii="Verdana" w:hAnsi="Verdana"/>
          <w:sz w:val="20"/>
          <w:lang w:eastAsia="en-US"/>
        </w:rPr>
        <w:t>а</w:t>
      </w:r>
      <w:r w:rsidRPr="008D016C">
        <w:rPr>
          <w:rFonts w:ascii="Verdana" w:hAnsi="Verdana"/>
          <w:sz w:val="20"/>
          <w:lang w:eastAsia="en-US"/>
        </w:rPr>
        <w:t xml:space="preserve"> за долл</w:t>
      </w:r>
      <w:r w:rsidR="00E16BC3">
        <w:rPr>
          <w:rFonts w:ascii="Verdana" w:hAnsi="Verdana"/>
          <w:sz w:val="20"/>
          <w:lang w:eastAsia="en-US"/>
        </w:rPr>
        <w:t>ар</w:t>
      </w:r>
      <w:r w:rsidR="009E1E37" w:rsidRPr="008D016C">
        <w:rPr>
          <w:rFonts w:ascii="Verdana" w:hAnsi="Verdana"/>
          <w:sz w:val="20"/>
          <w:lang w:eastAsia="en-US"/>
        </w:rPr>
        <w:t xml:space="preserve">, этому будет </w:t>
      </w:r>
      <w:r w:rsidR="009472DF">
        <w:rPr>
          <w:rFonts w:ascii="Verdana" w:hAnsi="Verdana"/>
          <w:sz w:val="20"/>
          <w:lang w:eastAsia="en-US"/>
        </w:rPr>
        <w:t>способствовать рост</w:t>
      </w:r>
      <w:r w:rsidR="009472DF" w:rsidRPr="009472DF">
        <w:rPr>
          <w:rFonts w:ascii="Verdana" w:hAnsi="Verdana"/>
          <w:sz w:val="20"/>
          <w:lang w:eastAsia="en-US"/>
        </w:rPr>
        <w:t xml:space="preserve"> экспортной выручки на фоне благоприятной ценовой конъюнктуры на мировом рынке золота, а также замедление темпов роста импорта.</w:t>
      </w:r>
    </w:p>
    <w:p w14:paraId="077B2939" w14:textId="77777777" w:rsidR="00A07122" w:rsidRPr="00F06D17" w:rsidRDefault="00BF4E45" w:rsidP="00A07122">
      <w:pPr>
        <w:pStyle w:val="ArialRegular12pt"/>
        <w:spacing w:before="120" w:after="120" w:line="240" w:lineRule="auto"/>
        <w:rPr>
          <w:rFonts w:ascii="Verdana" w:hAnsi="Verdana"/>
          <w:sz w:val="20"/>
          <w:lang w:eastAsia="en-US"/>
        </w:rPr>
      </w:pPr>
      <w:r w:rsidRPr="008D016C">
        <w:rPr>
          <w:rFonts w:ascii="Verdana" w:hAnsi="Verdana"/>
          <w:sz w:val="20"/>
          <w:lang w:eastAsia="en-US"/>
        </w:rPr>
        <w:lastRenderedPageBreak/>
        <w:t xml:space="preserve">В России </w:t>
      </w:r>
      <w:r w:rsidR="00262B22" w:rsidRPr="008D016C">
        <w:rPr>
          <w:rFonts w:ascii="Verdana" w:hAnsi="Verdana"/>
          <w:sz w:val="20"/>
          <w:lang w:eastAsia="en-US"/>
        </w:rPr>
        <w:t>в 2025 г</w:t>
      </w:r>
      <w:r w:rsidR="00531DF1">
        <w:rPr>
          <w:rFonts w:ascii="Verdana" w:hAnsi="Verdana"/>
          <w:sz w:val="20"/>
          <w:lang w:eastAsia="en-US"/>
        </w:rPr>
        <w:t>оду</w:t>
      </w:r>
      <w:r w:rsidR="00262B22" w:rsidRPr="008D016C">
        <w:rPr>
          <w:rFonts w:ascii="Verdana" w:hAnsi="Verdana"/>
          <w:sz w:val="20"/>
          <w:lang w:eastAsia="en-US"/>
        </w:rPr>
        <w:t xml:space="preserve"> </w:t>
      </w:r>
      <w:r w:rsidRPr="008D016C">
        <w:rPr>
          <w:rFonts w:ascii="Verdana" w:hAnsi="Verdana"/>
          <w:sz w:val="20"/>
          <w:lang w:eastAsia="en-US"/>
        </w:rPr>
        <w:t>прогнозируется плавное замедление экономики</w:t>
      </w:r>
      <w:r w:rsidR="00262B22" w:rsidRPr="008D016C">
        <w:rPr>
          <w:rFonts w:ascii="Verdana" w:hAnsi="Verdana"/>
          <w:sz w:val="20"/>
          <w:lang w:eastAsia="en-US"/>
        </w:rPr>
        <w:t xml:space="preserve"> до 2,0%</w:t>
      </w:r>
      <w:r w:rsidRPr="008D016C">
        <w:rPr>
          <w:rFonts w:ascii="Verdana" w:hAnsi="Verdana"/>
          <w:sz w:val="20"/>
          <w:lang w:eastAsia="en-US"/>
        </w:rPr>
        <w:t xml:space="preserve"> после периода ускоренного роста на фоне охлаждения внутреннего спроса. </w:t>
      </w:r>
      <w:r w:rsidR="00385646" w:rsidRPr="008D016C">
        <w:rPr>
          <w:rFonts w:ascii="Verdana" w:hAnsi="Verdana"/>
          <w:sz w:val="20"/>
        </w:rPr>
        <w:t>Продолжительный период высоких процентных ставок и укрепление рубля в первой половине года приведут к замедлению инфляции в России до 7,5% по итогам 2025 г</w:t>
      </w:r>
      <w:r w:rsidR="00531DF1">
        <w:rPr>
          <w:rFonts w:ascii="Verdana" w:hAnsi="Verdana"/>
          <w:sz w:val="20"/>
        </w:rPr>
        <w:t>ода</w:t>
      </w:r>
      <w:r w:rsidR="00385646" w:rsidRPr="008D016C">
        <w:rPr>
          <w:rFonts w:ascii="Verdana" w:hAnsi="Verdana"/>
          <w:sz w:val="20"/>
        </w:rPr>
        <w:t xml:space="preserve"> после 9,5% в 2024 г</w:t>
      </w:r>
      <w:r w:rsidR="00531DF1">
        <w:rPr>
          <w:rFonts w:ascii="Verdana" w:hAnsi="Verdana"/>
          <w:sz w:val="20"/>
        </w:rPr>
        <w:t>оду</w:t>
      </w:r>
      <w:r w:rsidR="00385646" w:rsidRPr="008D016C">
        <w:rPr>
          <w:rFonts w:ascii="Verdana" w:hAnsi="Verdana"/>
          <w:sz w:val="20"/>
        </w:rPr>
        <w:t xml:space="preserve">. </w:t>
      </w:r>
      <w:r w:rsidRPr="008D016C">
        <w:rPr>
          <w:rFonts w:ascii="Verdana" w:hAnsi="Verdana"/>
          <w:sz w:val="20"/>
          <w:lang w:eastAsia="en-US"/>
        </w:rPr>
        <w:t xml:space="preserve">Аналитики ЕАБР </w:t>
      </w:r>
      <w:r w:rsidR="003C2DD8" w:rsidRPr="008D016C">
        <w:rPr>
          <w:rFonts w:ascii="Verdana" w:hAnsi="Verdana"/>
          <w:sz w:val="20"/>
          <w:lang w:eastAsia="en-US"/>
        </w:rPr>
        <w:t xml:space="preserve">ожидают </w:t>
      </w:r>
      <w:r w:rsidRPr="008D016C">
        <w:rPr>
          <w:rFonts w:ascii="Verdana" w:hAnsi="Verdana"/>
          <w:sz w:val="20"/>
          <w:lang w:eastAsia="en-US"/>
        </w:rPr>
        <w:t>ослаблени</w:t>
      </w:r>
      <w:r w:rsidR="00531DF1">
        <w:rPr>
          <w:rFonts w:ascii="Verdana" w:hAnsi="Verdana"/>
          <w:sz w:val="20"/>
          <w:lang w:eastAsia="en-US"/>
        </w:rPr>
        <w:t>я</w:t>
      </w:r>
      <w:r w:rsidRPr="008D016C">
        <w:rPr>
          <w:rFonts w:ascii="Verdana" w:hAnsi="Verdana"/>
          <w:sz w:val="20"/>
          <w:lang w:eastAsia="en-US"/>
        </w:rPr>
        <w:t xml:space="preserve"> курса российского рубля</w:t>
      </w:r>
      <w:r w:rsidR="00385646" w:rsidRPr="008D016C">
        <w:rPr>
          <w:rFonts w:ascii="Verdana" w:hAnsi="Verdana"/>
          <w:sz w:val="20"/>
          <w:lang w:eastAsia="en-US"/>
        </w:rPr>
        <w:t xml:space="preserve"> во</w:t>
      </w:r>
      <w:r w:rsidRPr="008D016C">
        <w:rPr>
          <w:rFonts w:ascii="Verdana" w:hAnsi="Verdana"/>
          <w:sz w:val="20"/>
          <w:lang w:eastAsia="en-US"/>
        </w:rPr>
        <w:t xml:space="preserve"> втором полугодии до 95 ру</w:t>
      </w:r>
      <w:r w:rsidR="00787833" w:rsidRPr="008D016C">
        <w:rPr>
          <w:rFonts w:ascii="Verdana" w:hAnsi="Verdana"/>
          <w:sz w:val="20"/>
          <w:lang w:eastAsia="en-US"/>
        </w:rPr>
        <w:t>б.</w:t>
      </w:r>
      <w:r w:rsidR="00531DF1">
        <w:rPr>
          <w:rFonts w:ascii="Verdana" w:hAnsi="Verdana"/>
          <w:sz w:val="20"/>
          <w:lang w:eastAsia="en-US"/>
        </w:rPr>
        <w:t>/</w:t>
      </w:r>
      <w:r w:rsidR="00787833" w:rsidRPr="008D016C">
        <w:rPr>
          <w:rFonts w:ascii="Verdana" w:hAnsi="Verdana"/>
          <w:sz w:val="20"/>
          <w:lang w:eastAsia="en-US"/>
        </w:rPr>
        <w:t>долл. на конец 2025 г</w:t>
      </w:r>
      <w:r w:rsidR="005F0E7E">
        <w:rPr>
          <w:rFonts w:ascii="Verdana" w:hAnsi="Verdana"/>
          <w:sz w:val="20"/>
          <w:lang w:eastAsia="en-US"/>
        </w:rPr>
        <w:t>ода</w:t>
      </w:r>
      <w:r w:rsidR="00787833" w:rsidRPr="008D016C">
        <w:rPr>
          <w:rFonts w:ascii="Verdana" w:hAnsi="Verdana"/>
          <w:sz w:val="20"/>
          <w:lang w:eastAsia="en-US"/>
        </w:rPr>
        <w:t>.</w:t>
      </w:r>
      <w:r w:rsidR="009E1E37" w:rsidRPr="008D016C">
        <w:rPr>
          <w:rFonts w:ascii="Verdana" w:hAnsi="Verdana"/>
          <w:sz w:val="20"/>
          <w:lang w:eastAsia="en-US"/>
        </w:rPr>
        <w:t xml:space="preserve"> </w:t>
      </w:r>
      <w:r w:rsidR="009472DF" w:rsidRPr="009472DF">
        <w:rPr>
          <w:rFonts w:ascii="Verdana" w:hAnsi="Verdana"/>
          <w:sz w:val="20"/>
          <w:lang w:eastAsia="en-US"/>
        </w:rPr>
        <w:t>Высокие ставки продолжат оказывать поддержку национальной валюте, однако снижение цен на нефть и сокращение экспорта приве</w:t>
      </w:r>
      <w:r w:rsidR="009472DF">
        <w:rPr>
          <w:rFonts w:ascii="Verdana" w:hAnsi="Verdana"/>
          <w:sz w:val="20"/>
          <w:lang w:eastAsia="en-US"/>
        </w:rPr>
        <w:t>дут</w:t>
      </w:r>
      <w:r w:rsidR="009472DF" w:rsidRPr="009472DF">
        <w:rPr>
          <w:rFonts w:ascii="Verdana" w:hAnsi="Verdana"/>
          <w:sz w:val="20"/>
          <w:lang w:eastAsia="en-US"/>
        </w:rPr>
        <w:t xml:space="preserve"> к снижению предложения валюты на внутреннем рынке.</w:t>
      </w:r>
    </w:p>
    <w:p w14:paraId="077B293A" w14:textId="77777777" w:rsidR="00A07122" w:rsidRPr="00F06D17" w:rsidRDefault="00BF4E45" w:rsidP="00FD708D">
      <w:pPr>
        <w:pStyle w:val="ArialRegular12pt"/>
        <w:spacing w:before="120" w:after="120" w:line="240" w:lineRule="auto"/>
        <w:rPr>
          <w:rFonts w:ascii="Verdana" w:hAnsi="Verdana"/>
          <w:sz w:val="20"/>
          <w:lang w:eastAsia="en-US"/>
        </w:rPr>
      </w:pPr>
      <w:r w:rsidRPr="00F06D17">
        <w:rPr>
          <w:rFonts w:ascii="Verdana" w:hAnsi="Verdana"/>
          <w:sz w:val="20"/>
          <w:lang w:eastAsia="en-US"/>
        </w:rPr>
        <w:t>В Таджикистане прогнозируется в</w:t>
      </w:r>
      <w:r w:rsidR="00787833" w:rsidRPr="00F06D17">
        <w:rPr>
          <w:rFonts w:ascii="Verdana" w:hAnsi="Verdana"/>
          <w:sz w:val="20"/>
          <w:lang w:eastAsia="en-US"/>
        </w:rPr>
        <w:t xml:space="preserve">ысокий рост ВВП </w:t>
      </w:r>
      <w:r w:rsidR="00CB1951" w:rsidRPr="00F06D17">
        <w:rPr>
          <w:rFonts w:ascii="Verdana" w:hAnsi="Verdana"/>
          <w:sz w:val="20"/>
          <w:lang w:eastAsia="en-US"/>
        </w:rPr>
        <w:t>в 2025 г</w:t>
      </w:r>
      <w:r w:rsidR="005F0E7E">
        <w:rPr>
          <w:rFonts w:ascii="Verdana" w:hAnsi="Verdana"/>
          <w:sz w:val="20"/>
          <w:lang w:eastAsia="en-US"/>
        </w:rPr>
        <w:t>оду,</w:t>
      </w:r>
      <w:r w:rsidR="00CB1951" w:rsidRPr="00F06D17">
        <w:rPr>
          <w:rFonts w:ascii="Verdana" w:hAnsi="Verdana"/>
          <w:sz w:val="20"/>
          <w:lang w:eastAsia="en-US"/>
        </w:rPr>
        <w:t xml:space="preserve"> на уровне </w:t>
      </w:r>
      <w:r w:rsidR="00787833" w:rsidRPr="00F06D17">
        <w:rPr>
          <w:rFonts w:ascii="Verdana" w:hAnsi="Verdana"/>
          <w:sz w:val="20"/>
          <w:lang w:eastAsia="en-US"/>
        </w:rPr>
        <w:t>8,4%.</w:t>
      </w:r>
      <w:r w:rsidR="00CB1951" w:rsidRPr="00F06D17">
        <w:rPr>
          <w:rFonts w:ascii="Verdana" w:hAnsi="Verdana"/>
          <w:sz w:val="20"/>
          <w:lang w:eastAsia="en-US"/>
        </w:rPr>
        <w:t xml:space="preserve"> </w:t>
      </w:r>
      <w:r w:rsidR="005D1771">
        <w:rPr>
          <w:rFonts w:ascii="Verdana" w:hAnsi="Verdana"/>
          <w:sz w:val="20"/>
          <w:lang w:eastAsia="en-US"/>
        </w:rPr>
        <w:t>С</w:t>
      </w:r>
      <w:r w:rsidR="00CB1951" w:rsidRPr="00F06D17">
        <w:rPr>
          <w:rFonts w:ascii="Verdana" w:hAnsi="Verdana"/>
          <w:sz w:val="20"/>
          <w:lang w:eastAsia="en-US"/>
        </w:rPr>
        <w:t>ильный внутренний спрос и благоприятная для республики внешнеторговая конъюнктура (в частности</w:t>
      </w:r>
      <w:r w:rsidR="005F0E7E">
        <w:rPr>
          <w:rFonts w:ascii="Verdana" w:hAnsi="Verdana"/>
          <w:sz w:val="20"/>
          <w:lang w:eastAsia="en-US"/>
        </w:rPr>
        <w:t>,</w:t>
      </w:r>
      <w:r w:rsidR="00CB1951" w:rsidRPr="00F06D17">
        <w:rPr>
          <w:rFonts w:ascii="Verdana" w:hAnsi="Verdana"/>
          <w:sz w:val="20"/>
          <w:lang w:eastAsia="en-US"/>
        </w:rPr>
        <w:t xml:space="preserve"> рост цен на золото) обеспечат сохранение темпов роста ВВП на максимальном за последние 20 лет уровне.</w:t>
      </w:r>
      <w:r w:rsidR="00787833" w:rsidRPr="00F06D17">
        <w:rPr>
          <w:rFonts w:ascii="Verdana" w:hAnsi="Verdana"/>
          <w:sz w:val="20"/>
          <w:lang w:eastAsia="en-US"/>
        </w:rPr>
        <w:t xml:space="preserve"> Инфляция </w:t>
      </w:r>
      <w:r w:rsidRPr="00F06D17">
        <w:rPr>
          <w:rFonts w:ascii="Verdana" w:hAnsi="Verdana"/>
          <w:sz w:val="20"/>
          <w:lang w:eastAsia="en-US"/>
        </w:rPr>
        <w:t>к концу 2025 г</w:t>
      </w:r>
      <w:r w:rsidR="005F0E7E">
        <w:rPr>
          <w:rFonts w:ascii="Verdana" w:hAnsi="Verdana"/>
          <w:sz w:val="20"/>
          <w:lang w:eastAsia="en-US"/>
        </w:rPr>
        <w:t>ода</w:t>
      </w:r>
      <w:r w:rsidRPr="00F06D17">
        <w:rPr>
          <w:rFonts w:ascii="Verdana" w:hAnsi="Verdana"/>
          <w:sz w:val="20"/>
          <w:lang w:eastAsia="en-US"/>
        </w:rPr>
        <w:t xml:space="preserve"> </w:t>
      </w:r>
      <w:r w:rsidR="00787833" w:rsidRPr="00F06D17">
        <w:rPr>
          <w:rFonts w:ascii="Verdana" w:hAnsi="Verdana"/>
          <w:sz w:val="20"/>
          <w:lang w:eastAsia="en-US"/>
        </w:rPr>
        <w:t>со</w:t>
      </w:r>
      <w:r w:rsidRPr="00F06D17">
        <w:rPr>
          <w:rFonts w:ascii="Verdana" w:hAnsi="Verdana"/>
          <w:sz w:val="20"/>
          <w:lang w:eastAsia="en-US"/>
        </w:rPr>
        <w:t xml:space="preserve">ставит 3,3% г/г и </w:t>
      </w:r>
      <w:r w:rsidR="005F0E7E">
        <w:rPr>
          <w:rFonts w:ascii="Verdana" w:hAnsi="Verdana"/>
          <w:sz w:val="20"/>
          <w:lang w:eastAsia="en-US"/>
        </w:rPr>
        <w:t>сохранится</w:t>
      </w:r>
      <w:r w:rsidR="005F0E7E" w:rsidRPr="00F06D17">
        <w:rPr>
          <w:rFonts w:ascii="Verdana" w:hAnsi="Verdana"/>
          <w:sz w:val="20"/>
          <w:lang w:eastAsia="en-US"/>
        </w:rPr>
        <w:t xml:space="preserve"> </w:t>
      </w:r>
      <w:r w:rsidR="00787833" w:rsidRPr="00F06D17">
        <w:rPr>
          <w:rFonts w:ascii="Verdana" w:hAnsi="Verdana"/>
          <w:sz w:val="20"/>
          <w:lang w:eastAsia="en-US"/>
        </w:rPr>
        <w:t>в целево</w:t>
      </w:r>
      <w:r w:rsidRPr="00F06D17">
        <w:rPr>
          <w:rFonts w:ascii="Verdana" w:hAnsi="Verdana"/>
          <w:sz w:val="20"/>
          <w:lang w:eastAsia="en-US"/>
        </w:rPr>
        <w:t>м</w:t>
      </w:r>
      <w:r w:rsidR="00787833" w:rsidRPr="00F06D17">
        <w:rPr>
          <w:rFonts w:ascii="Verdana" w:hAnsi="Verdana"/>
          <w:sz w:val="20"/>
          <w:lang w:eastAsia="en-US"/>
        </w:rPr>
        <w:t xml:space="preserve"> диапазон</w:t>
      </w:r>
      <w:r w:rsidRPr="00F06D17">
        <w:rPr>
          <w:rFonts w:ascii="Verdana" w:hAnsi="Verdana"/>
          <w:sz w:val="20"/>
          <w:lang w:eastAsia="en-US"/>
        </w:rPr>
        <w:t xml:space="preserve">е. </w:t>
      </w:r>
    </w:p>
    <w:p w14:paraId="077B293B" w14:textId="77777777" w:rsidR="00787833" w:rsidRPr="00F06D17" w:rsidRDefault="00BF4E45" w:rsidP="00FD708D">
      <w:pPr>
        <w:pStyle w:val="ArialRegular12pt"/>
        <w:spacing w:before="120" w:after="120" w:line="240" w:lineRule="auto"/>
        <w:rPr>
          <w:rFonts w:ascii="Verdana" w:hAnsi="Verdana"/>
          <w:sz w:val="20"/>
          <w:lang w:eastAsia="en-US"/>
        </w:rPr>
      </w:pPr>
      <w:r w:rsidRPr="00F06D17">
        <w:rPr>
          <w:rFonts w:ascii="Verdana" w:hAnsi="Verdana"/>
          <w:sz w:val="20"/>
          <w:lang w:eastAsia="en-US"/>
        </w:rPr>
        <w:t xml:space="preserve">Согласно первому </w:t>
      </w:r>
      <w:r w:rsidR="005F0E7E">
        <w:rPr>
          <w:rFonts w:ascii="Verdana" w:hAnsi="Verdana"/>
          <w:sz w:val="20"/>
          <w:lang w:eastAsia="en-US"/>
        </w:rPr>
        <w:t>М</w:t>
      </w:r>
      <w:r w:rsidRPr="00F06D17">
        <w:rPr>
          <w:rFonts w:ascii="Verdana" w:hAnsi="Verdana"/>
          <w:sz w:val="20"/>
          <w:lang w:eastAsia="en-US"/>
        </w:rPr>
        <w:t>а</w:t>
      </w:r>
      <w:r w:rsidR="00C71517">
        <w:rPr>
          <w:rFonts w:ascii="Verdana" w:hAnsi="Verdana"/>
          <w:sz w:val="20"/>
          <w:lang w:eastAsia="en-US"/>
        </w:rPr>
        <w:t>кроэкономическому прогнозу ЕАБР для Узбекистана,</w:t>
      </w:r>
      <w:r w:rsidRPr="00F06D17">
        <w:rPr>
          <w:rFonts w:ascii="Verdana" w:hAnsi="Verdana"/>
          <w:sz w:val="20"/>
          <w:lang w:eastAsia="en-US"/>
        </w:rPr>
        <w:t xml:space="preserve"> ожида</w:t>
      </w:r>
      <w:r w:rsidR="006C21D8" w:rsidRPr="00F06D17">
        <w:rPr>
          <w:rFonts w:ascii="Verdana" w:hAnsi="Verdana"/>
          <w:sz w:val="20"/>
          <w:lang w:eastAsia="en-US"/>
        </w:rPr>
        <w:t>е</w:t>
      </w:r>
      <w:r w:rsidRPr="00F06D17">
        <w:rPr>
          <w:rFonts w:ascii="Verdana" w:hAnsi="Verdana"/>
          <w:sz w:val="20"/>
          <w:lang w:eastAsia="en-US"/>
        </w:rPr>
        <w:t>тся высоки</w:t>
      </w:r>
      <w:r w:rsidR="006C21D8" w:rsidRPr="00F06D17">
        <w:rPr>
          <w:rFonts w:ascii="Verdana" w:hAnsi="Verdana"/>
          <w:sz w:val="20"/>
          <w:lang w:eastAsia="en-US"/>
        </w:rPr>
        <w:t>й</w:t>
      </w:r>
      <w:r w:rsidRPr="00F06D17">
        <w:rPr>
          <w:rFonts w:ascii="Verdana" w:hAnsi="Verdana"/>
          <w:sz w:val="20"/>
          <w:lang w:eastAsia="en-US"/>
        </w:rPr>
        <w:t xml:space="preserve"> рост экономики на уровне 6,5% в 2025 г</w:t>
      </w:r>
      <w:r w:rsidR="003A51BD">
        <w:rPr>
          <w:rFonts w:ascii="Verdana" w:hAnsi="Verdana"/>
          <w:sz w:val="20"/>
          <w:lang w:eastAsia="en-US"/>
        </w:rPr>
        <w:t>оду</w:t>
      </w:r>
      <w:r w:rsidRPr="00F06D17">
        <w:rPr>
          <w:rFonts w:ascii="Verdana" w:hAnsi="Verdana"/>
          <w:sz w:val="20"/>
          <w:lang w:eastAsia="en-US"/>
        </w:rPr>
        <w:t xml:space="preserve">. </w:t>
      </w:r>
      <w:r w:rsidR="00CB1951" w:rsidRPr="00F06D17">
        <w:rPr>
          <w:rFonts w:ascii="Verdana" w:hAnsi="Verdana"/>
          <w:sz w:val="20"/>
          <w:lang w:eastAsia="en-US"/>
        </w:rPr>
        <w:t xml:space="preserve">Уверенный рост </w:t>
      </w:r>
      <w:r w:rsidR="00C71517">
        <w:rPr>
          <w:rFonts w:ascii="Verdana" w:hAnsi="Verdana"/>
          <w:sz w:val="20"/>
          <w:lang w:eastAsia="en-US"/>
        </w:rPr>
        <w:t>ВВП</w:t>
      </w:r>
      <w:r w:rsidR="00CB1951" w:rsidRPr="00F06D17">
        <w:rPr>
          <w:rFonts w:ascii="Verdana" w:hAnsi="Verdana"/>
          <w:sz w:val="20"/>
          <w:lang w:eastAsia="en-US"/>
        </w:rPr>
        <w:t xml:space="preserve"> Узбекистана </w:t>
      </w:r>
      <w:r w:rsidR="003A51BD">
        <w:rPr>
          <w:rFonts w:ascii="Verdana" w:hAnsi="Verdana"/>
          <w:sz w:val="20"/>
          <w:lang w:eastAsia="en-US"/>
        </w:rPr>
        <w:t>пройдет</w:t>
      </w:r>
      <w:r w:rsidR="003A51BD" w:rsidRPr="00F06D17">
        <w:rPr>
          <w:rFonts w:ascii="Verdana" w:hAnsi="Verdana"/>
          <w:sz w:val="20"/>
          <w:lang w:eastAsia="en-US"/>
        </w:rPr>
        <w:t xml:space="preserve"> </w:t>
      </w:r>
      <w:r w:rsidR="00CB1951" w:rsidRPr="00F06D17">
        <w:rPr>
          <w:rFonts w:ascii="Verdana" w:hAnsi="Verdana"/>
          <w:sz w:val="20"/>
          <w:lang w:eastAsia="en-US"/>
        </w:rPr>
        <w:t>в условиях увеличения доходов населения и активной инвестиционной политики, способствующей устойчивому развитию страны.</w:t>
      </w:r>
      <w:r w:rsidRPr="00F06D17">
        <w:rPr>
          <w:rFonts w:ascii="Verdana" w:hAnsi="Verdana"/>
          <w:sz w:val="20"/>
          <w:lang w:eastAsia="en-US"/>
        </w:rPr>
        <w:t xml:space="preserve"> </w:t>
      </w:r>
      <w:r w:rsidR="00CB1951" w:rsidRPr="00F06D17">
        <w:rPr>
          <w:rFonts w:ascii="Verdana" w:hAnsi="Verdana"/>
          <w:sz w:val="20"/>
        </w:rPr>
        <w:t xml:space="preserve">Принятые ранее меры денежно-кредитной политики в Узбекистане </w:t>
      </w:r>
      <w:r w:rsidR="003A51BD">
        <w:rPr>
          <w:rFonts w:ascii="Verdana" w:hAnsi="Verdana"/>
          <w:sz w:val="20"/>
        </w:rPr>
        <w:t>по</w:t>
      </w:r>
      <w:r w:rsidR="00CB1951" w:rsidRPr="00F06D17">
        <w:rPr>
          <w:rFonts w:ascii="Verdana" w:hAnsi="Verdana"/>
          <w:sz w:val="20"/>
        </w:rPr>
        <w:t>способств</w:t>
      </w:r>
      <w:r w:rsidR="003A51BD">
        <w:rPr>
          <w:rFonts w:ascii="Verdana" w:hAnsi="Verdana"/>
          <w:sz w:val="20"/>
        </w:rPr>
        <w:t>уют</w:t>
      </w:r>
      <w:r w:rsidR="00CB1951" w:rsidRPr="00F06D17">
        <w:rPr>
          <w:rFonts w:ascii="Verdana" w:hAnsi="Verdana"/>
          <w:sz w:val="20"/>
        </w:rPr>
        <w:t xml:space="preserve"> замедлению инфляции до 8,1% по итогам </w:t>
      </w:r>
      <w:r w:rsidR="00CB1951" w:rsidRPr="00D56FA8">
        <w:rPr>
          <w:rFonts w:ascii="Verdana" w:hAnsi="Verdana"/>
          <w:sz w:val="20"/>
        </w:rPr>
        <w:t>2025 г</w:t>
      </w:r>
      <w:r w:rsidR="003A51BD">
        <w:rPr>
          <w:rFonts w:ascii="Verdana" w:hAnsi="Verdana"/>
          <w:sz w:val="20"/>
        </w:rPr>
        <w:t>ода</w:t>
      </w:r>
      <w:r w:rsidR="00015DC0" w:rsidRPr="00D56FA8">
        <w:rPr>
          <w:rFonts w:ascii="Verdana" w:hAnsi="Verdana"/>
          <w:sz w:val="20"/>
          <w:lang w:eastAsia="en-US"/>
        </w:rPr>
        <w:t>.</w:t>
      </w:r>
      <w:r w:rsidRPr="00D56FA8">
        <w:rPr>
          <w:rFonts w:ascii="Verdana" w:hAnsi="Verdana"/>
          <w:sz w:val="20"/>
          <w:lang w:eastAsia="en-US"/>
        </w:rPr>
        <w:t xml:space="preserve"> </w:t>
      </w:r>
      <w:r w:rsidR="0065285E" w:rsidRPr="008D016C">
        <w:rPr>
          <w:rFonts w:ascii="Verdana" w:hAnsi="Verdana"/>
          <w:sz w:val="20"/>
        </w:rPr>
        <w:t>По прогнозам аналитиков ЕАБР</w:t>
      </w:r>
      <w:r w:rsidR="0065285E">
        <w:rPr>
          <w:rFonts w:ascii="Verdana" w:hAnsi="Verdana"/>
          <w:sz w:val="20"/>
        </w:rPr>
        <w:t>,</w:t>
      </w:r>
      <w:r w:rsidR="00955E5A" w:rsidRPr="00D56FA8">
        <w:rPr>
          <w:rFonts w:ascii="Verdana" w:hAnsi="Verdana"/>
          <w:sz w:val="20"/>
          <w:lang w:eastAsia="en-US"/>
        </w:rPr>
        <w:t xml:space="preserve"> </w:t>
      </w:r>
      <w:r w:rsidR="00C71517">
        <w:rPr>
          <w:rFonts w:ascii="Verdana" w:hAnsi="Verdana"/>
          <w:sz w:val="20"/>
          <w:lang w:eastAsia="en-US"/>
        </w:rPr>
        <w:t xml:space="preserve">среднегодовой курс </w:t>
      </w:r>
      <w:r w:rsidR="006C21D8" w:rsidRPr="00D56FA8">
        <w:rPr>
          <w:rFonts w:ascii="Verdana" w:hAnsi="Verdana"/>
          <w:sz w:val="20"/>
          <w:lang w:eastAsia="en-US"/>
        </w:rPr>
        <w:t>сума</w:t>
      </w:r>
      <w:r w:rsidR="0065285E">
        <w:rPr>
          <w:rFonts w:ascii="Verdana" w:hAnsi="Verdana"/>
          <w:sz w:val="20"/>
          <w:lang w:eastAsia="en-US"/>
        </w:rPr>
        <w:t xml:space="preserve"> </w:t>
      </w:r>
      <w:r w:rsidR="00604C64">
        <w:rPr>
          <w:rFonts w:ascii="Verdana" w:hAnsi="Verdana"/>
          <w:sz w:val="20"/>
          <w:lang w:eastAsia="en-US"/>
        </w:rPr>
        <w:t>в 2025 г</w:t>
      </w:r>
      <w:r w:rsidR="003A51BD">
        <w:rPr>
          <w:rFonts w:ascii="Verdana" w:hAnsi="Verdana"/>
          <w:sz w:val="20"/>
          <w:lang w:eastAsia="en-US"/>
        </w:rPr>
        <w:t>оду</w:t>
      </w:r>
      <w:r w:rsidR="00604C64">
        <w:rPr>
          <w:rFonts w:ascii="Verdana" w:hAnsi="Verdana"/>
          <w:sz w:val="20"/>
          <w:lang w:eastAsia="en-US"/>
        </w:rPr>
        <w:t xml:space="preserve"> составит</w:t>
      </w:r>
      <w:r w:rsidR="00C71517">
        <w:rPr>
          <w:rFonts w:ascii="Verdana" w:hAnsi="Verdana"/>
          <w:sz w:val="20"/>
          <w:lang w:eastAsia="en-US"/>
        </w:rPr>
        <w:t xml:space="preserve"> около</w:t>
      </w:r>
      <w:r w:rsidR="006C21D8" w:rsidRPr="00D56FA8">
        <w:rPr>
          <w:rFonts w:ascii="Verdana" w:hAnsi="Verdana"/>
          <w:sz w:val="20"/>
          <w:lang w:eastAsia="en-US"/>
        </w:rPr>
        <w:t xml:space="preserve"> </w:t>
      </w:r>
      <w:r w:rsidR="00F57E69" w:rsidRPr="00D56FA8">
        <w:rPr>
          <w:rFonts w:ascii="Verdana" w:hAnsi="Verdana"/>
          <w:sz w:val="20"/>
          <w:lang w:eastAsia="en-US"/>
        </w:rPr>
        <w:t>13</w:t>
      </w:r>
      <w:r w:rsidR="003A51BD">
        <w:rPr>
          <w:rFonts w:ascii="Verdana" w:hAnsi="Verdana"/>
          <w:sz w:val="20"/>
          <w:lang w:eastAsia="en-US"/>
        </w:rPr>
        <w:t xml:space="preserve"> </w:t>
      </w:r>
      <w:r w:rsidR="00F57E69" w:rsidRPr="00D56FA8">
        <w:rPr>
          <w:rFonts w:ascii="Verdana" w:hAnsi="Verdana"/>
          <w:sz w:val="20"/>
          <w:lang w:eastAsia="en-US"/>
        </w:rPr>
        <w:t>200</w:t>
      </w:r>
      <w:r w:rsidR="00955E5A" w:rsidRPr="00D56FA8">
        <w:rPr>
          <w:rFonts w:ascii="Verdana" w:hAnsi="Verdana"/>
          <w:sz w:val="20"/>
          <w:lang w:eastAsia="en-US"/>
        </w:rPr>
        <w:t xml:space="preserve"> </w:t>
      </w:r>
      <w:proofErr w:type="spellStart"/>
      <w:r w:rsidR="0065285E">
        <w:rPr>
          <w:rFonts w:ascii="Verdana" w:hAnsi="Verdana"/>
          <w:sz w:val="20"/>
          <w:lang w:eastAsia="en-US"/>
        </w:rPr>
        <w:t>сум</w:t>
      </w:r>
      <w:r w:rsidR="00767DBB">
        <w:rPr>
          <w:rFonts w:ascii="Verdana" w:hAnsi="Verdana"/>
          <w:sz w:val="20"/>
          <w:lang w:eastAsia="en-US"/>
        </w:rPr>
        <w:t>ов</w:t>
      </w:r>
      <w:proofErr w:type="spellEnd"/>
      <w:r w:rsidR="00767DBB">
        <w:rPr>
          <w:rFonts w:ascii="Verdana" w:hAnsi="Verdana"/>
          <w:sz w:val="20"/>
          <w:lang w:eastAsia="en-US"/>
        </w:rPr>
        <w:t xml:space="preserve"> за </w:t>
      </w:r>
      <w:r w:rsidR="0065285E">
        <w:rPr>
          <w:rFonts w:ascii="Verdana" w:hAnsi="Verdana"/>
          <w:sz w:val="20"/>
          <w:lang w:eastAsia="en-US"/>
        </w:rPr>
        <w:t>долл</w:t>
      </w:r>
      <w:r w:rsidR="00767DBB">
        <w:rPr>
          <w:rFonts w:ascii="Verdana" w:hAnsi="Verdana"/>
          <w:sz w:val="20"/>
          <w:lang w:eastAsia="en-US"/>
        </w:rPr>
        <w:t>ар</w:t>
      </w:r>
      <w:r w:rsidR="0065285E">
        <w:rPr>
          <w:rFonts w:ascii="Verdana" w:hAnsi="Verdana"/>
          <w:sz w:val="20"/>
          <w:lang w:eastAsia="en-US"/>
        </w:rPr>
        <w:t xml:space="preserve">. </w:t>
      </w:r>
      <w:r w:rsidR="00C71517">
        <w:rPr>
          <w:rFonts w:ascii="Verdana" w:hAnsi="Verdana"/>
          <w:sz w:val="20"/>
          <w:lang w:eastAsia="en-US"/>
        </w:rPr>
        <w:t xml:space="preserve">Поддержку национальной валюте </w:t>
      </w:r>
      <w:r w:rsidR="005C7E00">
        <w:rPr>
          <w:rFonts w:ascii="Verdana" w:hAnsi="Verdana"/>
          <w:sz w:val="20"/>
          <w:lang w:eastAsia="en-US"/>
        </w:rPr>
        <w:t xml:space="preserve">окажут увеличение объемов денежных переводов и устойчивый рост экспорта. </w:t>
      </w:r>
    </w:p>
    <w:p w14:paraId="077B293C" w14:textId="77777777" w:rsidR="007B71D9" w:rsidRPr="004D67D8" w:rsidRDefault="00BF4E45" w:rsidP="007B71D9">
      <w:pPr>
        <w:pStyle w:val="ArialRegular12pt"/>
        <w:spacing w:before="120" w:after="120" w:line="240" w:lineRule="auto"/>
        <w:rPr>
          <w:rFonts w:ascii="Verdana" w:hAnsi="Verdana"/>
          <w:b/>
          <w:color w:val="0032AF"/>
          <w:sz w:val="20"/>
        </w:rPr>
      </w:pPr>
      <w:r w:rsidRPr="004D67D8">
        <w:rPr>
          <w:rFonts w:ascii="Verdana" w:hAnsi="Verdana"/>
          <w:b/>
          <w:color w:val="0032AF"/>
          <w:sz w:val="20"/>
        </w:rPr>
        <w:t>Прогноз ЕАБР. Основные макроэкономические показатели государств — участников Банка (базовый сценарий)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992"/>
        <w:gridCol w:w="993"/>
        <w:gridCol w:w="856"/>
        <w:gridCol w:w="108"/>
        <w:gridCol w:w="28"/>
      </w:tblGrid>
      <w:tr w:rsidR="001D3BD5" w14:paraId="077B2943" w14:textId="77777777" w:rsidTr="00100BCB">
        <w:trPr>
          <w:gridAfter w:val="1"/>
          <w:wAfter w:w="28" w:type="dxa"/>
          <w:trHeight w:val="2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32AF"/>
            <w:vAlign w:val="center"/>
            <w:hideMark/>
          </w:tcPr>
          <w:p w14:paraId="077B293D" w14:textId="77777777" w:rsidR="007B71D9" w:rsidRPr="00475785" w:rsidRDefault="00BF4E45" w:rsidP="000D5B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32AF"/>
            <w:vAlign w:val="center"/>
            <w:hideMark/>
          </w:tcPr>
          <w:p w14:paraId="077B293E" w14:textId="77777777" w:rsidR="007B71D9" w:rsidRPr="00475785" w:rsidRDefault="00BF4E45" w:rsidP="007B71D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32AF"/>
            <w:vAlign w:val="center"/>
            <w:hideMark/>
          </w:tcPr>
          <w:p w14:paraId="077B293F" w14:textId="77777777" w:rsidR="007B71D9" w:rsidRPr="00475785" w:rsidRDefault="00BF4E45" w:rsidP="007B71D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32AF"/>
            <w:vAlign w:val="center"/>
            <w:hideMark/>
          </w:tcPr>
          <w:p w14:paraId="077B2940" w14:textId="77777777" w:rsidR="007B71D9" w:rsidRPr="00475785" w:rsidRDefault="00BF4E45" w:rsidP="007B71D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5</w:t>
            </w:r>
            <w:r w:rsidRPr="0047578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32AF"/>
            <w:vAlign w:val="center"/>
            <w:hideMark/>
          </w:tcPr>
          <w:p w14:paraId="077B2941" w14:textId="77777777" w:rsidR="007B71D9" w:rsidRPr="00475785" w:rsidRDefault="00BF4E45" w:rsidP="007B71D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6</w:t>
            </w:r>
            <w:r w:rsidRPr="0047578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32AF"/>
            <w:vAlign w:val="center"/>
            <w:hideMark/>
          </w:tcPr>
          <w:p w14:paraId="077B2942" w14:textId="77777777" w:rsidR="007B71D9" w:rsidRPr="00475785" w:rsidRDefault="00BF4E45" w:rsidP="007B71D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7</w:t>
            </w:r>
            <w:r w:rsidRPr="0047578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ru-RU"/>
              </w:rPr>
              <w:t>П</w:t>
            </w:r>
          </w:p>
        </w:tc>
      </w:tr>
      <w:tr w:rsidR="001D3BD5" w14:paraId="077B2946" w14:textId="77777777" w:rsidTr="00100BCB">
        <w:trPr>
          <w:trHeight w:val="29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44" w14:textId="77777777" w:rsidR="007B71D9" w:rsidRPr="00475785" w:rsidRDefault="00BF4E45" w:rsidP="000D5B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Республика Армения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45" w14:textId="77777777" w:rsidR="007B71D9" w:rsidRPr="00475785" w:rsidRDefault="00BF4E45" w:rsidP="000D5B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BD5" w14:paraId="077B294D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47" w14:textId="46A7D9BB" w:rsidR="00D32DF4" w:rsidRPr="00475785" w:rsidRDefault="008C44E9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ВВП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48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49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4A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4B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4C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D3BD5" w14:paraId="077B2954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4E" w14:textId="29B3C634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Инфляция 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на конец периода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4F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–0,6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0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1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2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3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1D3BD5" w14:paraId="077B295B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55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Ставка МБК (</w:t>
            </w:r>
            <w:r w:rsidRPr="00886C23">
              <w:rPr>
                <w:rFonts w:ascii="Verdana" w:eastAsia="Times New Roman" w:hAnsi="Verdana" w:cs="Calibri"/>
                <w:bCs/>
                <w:i/>
                <w:color w:val="000000"/>
                <w:sz w:val="20"/>
                <w:szCs w:val="20"/>
                <w:lang w:eastAsia="ru-RU"/>
              </w:rPr>
              <w:t>в среднем за год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6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7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8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9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A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1D3BD5" w14:paraId="077B2962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5C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Курс драма к доллару 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в среднем за год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D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E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5F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60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61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403</w:t>
            </w:r>
          </w:p>
        </w:tc>
      </w:tr>
      <w:tr w:rsidR="001D3BD5" w14:paraId="077B2965" w14:textId="77777777" w:rsidTr="00100BCB">
        <w:trPr>
          <w:trHeight w:val="29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63" w14:textId="77777777" w:rsidR="00D32DF4" w:rsidRPr="00475785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Республика Беларусь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64" w14:textId="77777777" w:rsidR="00D32DF4" w:rsidRPr="00475785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BD5" w14:paraId="077B296C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66" w14:textId="7A066265" w:rsidR="00D32DF4" w:rsidRPr="00475785" w:rsidRDefault="008C44E9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ВВП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67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68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69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6A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6B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1D3BD5" w14:paraId="077B2973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6D" w14:textId="6A858E98" w:rsidR="00D32DF4" w:rsidRPr="00475785" w:rsidRDefault="008C44E9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Инфляция 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на конец периода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6E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6F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0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1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2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1D3BD5" w14:paraId="077B297A" w14:textId="77777777" w:rsidTr="00100BCB">
        <w:trPr>
          <w:gridAfter w:val="1"/>
          <w:wAfter w:w="28" w:type="dxa"/>
          <w:trHeight w:val="6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74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Ставка рефинансирования (</w:t>
            </w:r>
            <w:r w:rsidRPr="00886C23">
              <w:rPr>
                <w:rFonts w:ascii="Verdana" w:eastAsia="Times New Roman" w:hAnsi="Verdana" w:cs="Calibri"/>
                <w:bCs/>
                <w:i/>
                <w:color w:val="000000"/>
                <w:sz w:val="20"/>
                <w:szCs w:val="20"/>
                <w:lang w:eastAsia="ru-RU"/>
              </w:rPr>
              <w:t>в среднем за год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5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6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7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8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9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1D3BD5" w14:paraId="077B2981" w14:textId="77777777" w:rsidTr="00100BCB">
        <w:trPr>
          <w:gridAfter w:val="1"/>
          <w:wAfter w:w="28" w:type="dxa"/>
          <w:trHeight w:val="5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7B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Курс бел</w:t>
            </w:r>
            <w:r w:rsidR="00C1277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рубля к доллару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в среднем за год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C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D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E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7F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</w:tcPr>
          <w:p w14:paraId="077B2980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4,01</w:t>
            </w:r>
          </w:p>
        </w:tc>
      </w:tr>
      <w:tr w:rsidR="001D3BD5" w14:paraId="077B2984" w14:textId="77777777" w:rsidTr="00100BCB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82" w14:textId="77777777" w:rsidR="00D32DF4" w:rsidRPr="00475785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Республика Казахстан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83" w14:textId="77777777" w:rsidR="00D32DF4" w:rsidRPr="00475785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BD5" w14:paraId="077B298B" w14:textId="77777777" w:rsidTr="00100BCB">
        <w:trPr>
          <w:gridAfter w:val="1"/>
          <w:wAfter w:w="28" w:type="dxa"/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85" w14:textId="4A0EBAAB" w:rsidR="00D32DF4" w:rsidRPr="00475785" w:rsidRDefault="008C44E9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ВВП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86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87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88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89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8A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1D3BD5" w14:paraId="077B2992" w14:textId="77777777" w:rsidTr="00100BCB">
        <w:trPr>
          <w:gridAfter w:val="1"/>
          <w:wAfter w:w="28" w:type="dxa"/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8C" w14:textId="74B21167" w:rsidR="00D32DF4" w:rsidRPr="00475785" w:rsidRDefault="008C44E9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Инфляция 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на конец периода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8D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8E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8F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0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1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1D3BD5" w14:paraId="077B2999" w14:textId="77777777" w:rsidTr="00100BCB">
        <w:trPr>
          <w:gridAfter w:val="1"/>
          <w:wAfter w:w="28" w:type="dxa"/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93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Ставка TONIA (</w:t>
            </w:r>
            <w:r w:rsidRPr="00886C23">
              <w:rPr>
                <w:rFonts w:ascii="Verdana" w:eastAsia="Times New Roman" w:hAnsi="Verdana" w:cs="Calibri"/>
                <w:bCs/>
                <w:i/>
                <w:color w:val="000000"/>
                <w:sz w:val="20"/>
                <w:szCs w:val="20"/>
                <w:lang w:eastAsia="ru-RU"/>
              </w:rPr>
              <w:t>в среднем за год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4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5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6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7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8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1D3BD5" w14:paraId="077B29A0" w14:textId="77777777" w:rsidTr="00100BCB">
        <w:trPr>
          <w:gridAfter w:val="1"/>
          <w:wAfter w:w="28" w:type="dxa"/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9A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Курс тенге к доллару 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(в среднем за год)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B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C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D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E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9F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545</w:t>
            </w:r>
          </w:p>
        </w:tc>
      </w:tr>
      <w:tr w:rsidR="001D3BD5" w14:paraId="077B29A3" w14:textId="77777777" w:rsidTr="00100BCB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A1" w14:textId="77777777" w:rsidR="00D32DF4" w:rsidRPr="00475785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Кыргызская</w:t>
            </w:r>
            <w:proofErr w:type="spellEnd"/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Республика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A2" w14:textId="77777777" w:rsidR="00D32DF4" w:rsidRPr="00475785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BD5" w14:paraId="077B29AA" w14:textId="77777777" w:rsidTr="00100BCB">
        <w:trPr>
          <w:gridAfter w:val="1"/>
          <w:wAfter w:w="28" w:type="dxa"/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A4" w14:textId="5C9B2B1A" w:rsidR="00D32DF4" w:rsidRPr="00475785" w:rsidRDefault="008C44E9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ВВП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A5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A6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A7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A8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A9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1D3BD5" w14:paraId="077B29B1" w14:textId="77777777" w:rsidTr="00100BCB">
        <w:trPr>
          <w:gridAfter w:val="1"/>
          <w:wAfter w:w="28" w:type="dxa"/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AB" w14:textId="73914305" w:rsidR="00D32DF4" w:rsidRPr="00475785" w:rsidRDefault="008C44E9" w:rsidP="00886C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Инфляция 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на конец периода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AC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AD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AE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AF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B0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1D3BD5" w14:paraId="077B29B8" w14:textId="77777777" w:rsidTr="00100BCB">
        <w:trPr>
          <w:gridAfter w:val="1"/>
          <w:wAfter w:w="28" w:type="dxa"/>
          <w:trHeight w:val="4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B2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Ставка РЕПО — 7 дней (</w:t>
            </w:r>
            <w:r w:rsidRPr="00886C23">
              <w:rPr>
                <w:rFonts w:ascii="Verdana" w:eastAsia="Times New Roman" w:hAnsi="Verdana" w:cs="Calibri"/>
                <w:bCs/>
                <w:i/>
                <w:color w:val="000000"/>
                <w:sz w:val="20"/>
                <w:szCs w:val="20"/>
                <w:lang w:eastAsia="ru-RU"/>
              </w:rPr>
              <w:t>в среднем за год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B3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B4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B5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B6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B7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1D3BD5" w14:paraId="077B29BF" w14:textId="77777777" w:rsidTr="00100BCB">
        <w:trPr>
          <w:gridAfter w:val="1"/>
          <w:wAfter w:w="28" w:type="dxa"/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B9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Курс сома к доллару </w:t>
            </w:r>
            <w:r w:rsidRPr="007A3CD0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в среднем за год</w:t>
            </w:r>
            <w:r w:rsidRPr="007A3CD0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BA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BB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BC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BD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BE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91,9</w:t>
            </w:r>
          </w:p>
        </w:tc>
      </w:tr>
      <w:tr w:rsidR="001D3BD5" w14:paraId="077B29C2" w14:textId="77777777" w:rsidTr="00100BCB">
        <w:trPr>
          <w:trHeight w:val="29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C0" w14:textId="77777777" w:rsidR="00D32DF4" w:rsidRPr="00475785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C1" w14:textId="77777777" w:rsidR="00D32DF4" w:rsidRPr="00475785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BD5" w14:paraId="077B29C9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C3" w14:textId="2A67DD1E" w:rsidR="00D32DF4" w:rsidRPr="00475785" w:rsidRDefault="008C44E9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ВВП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C4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C5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C6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C7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C8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1D3BD5" w14:paraId="077B29D0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CA" w14:textId="72DFE340" w:rsidR="00D32DF4" w:rsidRPr="00475785" w:rsidRDefault="008C44E9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Инфляция 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на конец периода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CB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CC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CD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CE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CF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1D3BD5" w14:paraId="077B29D7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D1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Ключевая ставка (в среднем за год)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D2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D3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D4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D5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D6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1D3BD5" w14:paraId="077B29DE" w14:textId="77777777" w:rsidTr="00100BCB">
        <w:trPr>
          <w:gridAfter w:val="1"/>
          <w:wAfter w:w="28" w:type="dxa"/>
          <w:trHeight w:val="5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D8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Курс рос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рубля к доллару </w:t>
            </w:r>
            <w:r w:rsidRPr="007A3CD0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в среднем за год</w:t>
            </w:r>
            <w:r w:rsidRPr="007A3CD0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D9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DA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DB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DC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DD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1D3BD5" w14:paraId="077B29E1" w14:textId="77777777" w:rsidTr="00100BCB">
        <w:trPr>
          <w:trHeight w:val="29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DF" w14:textId="77777777" w:rsidR="00D32DF4" w:rsidRPr="00475785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Республика Таджикистан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BCDE3"/>
            <w:vAlign w:val="center"/>
            <w:hideMark/>
          </w:tcPr>
          <w:p w14:paraId="077B29E0" w14:textId="77777777" w:rsidR="00D32DF4" w:rsidRPr="00475785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BD5" w14:paraId="077B29E8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E2" w14:textId="1E913FB7" w:rsidR="00D32DF4" w:rsidRPr="00475785" w:rsidRDefault="008C44E9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ВВП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E3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E4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E5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E6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E7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1D3BD5" w14:paraId="077B29EF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E9" w14:textId="22DE8F57" w:rsidR="00D32DF4" w:rsidRPr="00475785" w:rsidRDefault="008C44E9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Инфляция 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на конец периода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EA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EB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EC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ED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EE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1D3BD5" w14:paraId="077B29F6" w14:textId="77777777" w:rsidTr="00100BCB">
        <w:trPr>
          <w:gridAfter w:val="1"/>
          <w:wAfter w:w="28" w:type="dxa"/>
          <w:trHeight w:val="5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F0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Ставка рефинансирования (в среднем за год)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F1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F2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F3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F4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F5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1D3BD5" w14:paraId="077B29FD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  <w:hideMark/>
          </w:tcPr>
          <w:p w14:paraId="077B29F7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сомони</w:t>
            </w:r>
            <w:proofErr w:type="spellEnd"/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к доллару 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(в среднем за год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F8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F9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FA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FB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hideMark/>
          </w:tcPr>
          <w:p w14:paraId="077B29FC" w14:textId="77777777" w:rsidR="00D32DF4" w:rsidRPr="009C025C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5486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1D3BD5" w14:paraId="077B2A00" w14:textId="77777777" w:rsidTr="00100BCB">
        <w:trPr>
          <w:trHeight w:val="31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BCDE3"/>
            <w:vAlign w:val="center"/>
          </w:tcPr>
          <w:p w14:paraId="077B29FE" w14:textId="77777777" w:rsidR="00D32DF4" w:rsidRPr="007B71D9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7B71D9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Республика Узбекистан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BCDE3"/>
            <w:vAlign w:val="center"/>
          </w:tcPr>
          <w:p w14:paraId="077B29FF" w14:textId="77777777" w:rsidR="00D32DF4" w:rsidRPr="007B71D9" w:rsidRDefault="00D32DF4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BD5" w14:paraId="077B2A07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1" w14:textId="6A688EBA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ВВП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2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3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4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5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6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1D3BD5" w14:paraId="077B2A0E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8" w14:textId="29106D0D" w:rsidR="00D32DF4" w:rsidRPr="00475785" w:rsidRDefault="008C44E9" w:rsidP="00D32DF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Инфляция 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475785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ru-RU"/>
              </w:rPr>
              <w:t>на конец периода</w:t>
            </w:r>
            <w:r w:rsidRPr="00886C23">
              <w:rPr>
                <w:rFonts w:ascii="Verdana" w:eastAsia="Times New Roman" w:hAnsi="Verdana" w:cs="Calibri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9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A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B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C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D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1D3BD5" w14:paraId="077B2A15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0F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Основная с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тавка (</w:t>
            </w:r>
            <w:r w:rsidRPr="00886C23">
              <w:rPr>
                <w:rFonts w:ascii="Verdana" w:eastAsia="Times New Roman" w:hAnsi="Verdana" w:cs="Calibri"/>
                <w:bCs/>
                <w:i/>
                <w:color w:val="000000"/>
                <w:sz w:val="20"/>
                <w:szCs w:val="20"/>
                <w:lang w:eastAsia="ru-RU"/>
              </w:rPr>
              <w:t>в среднем за год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7578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10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11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13,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12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13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14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D3BD5" w14:paraId="077B2A1C" w14:textId="77777777" w:rsidTr="00100BCB">
        <w:trPr>
          <w:gridAfter w:val="1"/>
          <w:wAfter w:w="28" w:type="dxa"/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16" w14:textId="77777777" w:rsidR="00D32DF4" w:rsidRPr="00475785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Курс сума к доллару </w:t>
            </w: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r w:rsidRPr="00886C23">
              <w:rPr>
                <w:rFonts w:ascii="Verdana" w:eastAsia="Times New Roman" w:hAnsi="Verdana" w:cs="Calibri"/>
                <w:bCs/>
                <w:i/>
                <w:color w:val="000000"/>
                <w:sz w:val="20"/>
                <w:szCs w:val="20"/>
                <w:lang w:eastAsia="ru-RU"/>
              </w:rPr>
              <w:t>в среднем за год</w:t>
            </w:r>
            <w:r w:rsidRPr="00237A44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17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264DB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18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264DB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19" w14:textId="77777777" w:rsidR="00D32DF4" w:rsidRPr="00237A44" w:rsidRDefault="00BF4E45" w:rsidP="009C02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264DB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1A" w14:textId="77777777" w:rsidR="00D32DF4" w:rsidRPr="00237A44" w:rsidRDefault="00BF4E45" w:rsidP="00D32D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264DB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8F2"/>
            <w:vAlign w:val="center"/>
          </w:tcPr>
          <w:p w14:paraId="077B2A1B" w14:textId="03D288A3" w:rsidR="00D32DF4" w:rsidRPr="00237A44" w:rsidRDefault="00BF4E45" w:rsidP="00100B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100BCB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1D3BD5" w14:paraId="077B2A1E" w14:textId="77777777" w:rsidTr="00100BCB">
        <w:trPr>
          <w:gridAfter w:val="2"/>
          <w:wAfter w:w="136" w:type="dxa"/>
          <w:trHeight w:val="530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2A1D" w14:textId="77777777" w:rsidR="00D32DF4" w:rsidRPr="006760CA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</w:pPr>
            <w:r w:rsidRPr="007A3CD0">
              <w:rPr>
                <w:rFonts w:ascii="Verdana" w:eastAsia="Times New Roman" w:hAnsi="Verdana" w:cs="Calibri"/>
                <w:bCs/>
                <w:i/>
                <w:color w:val="000000"/>
                <w:sz w:val="20"/>
                <w:szCs w:val="20"/>
                <w:lang w:eastAsia="ru-RU"/>
              </w:rPr>
              <w:t>Примечание:</w:t>
            </w:r>
            <w:r w:rsidRPr="006760CA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ru-RU"/>
              </w:rPr>
              <w:t xml:space="preserve">  П — «прогноз», ВВП, инфляция — % год к году; курс к доллару — единиц национальной валюты за 1 доллар,</w:t>
            </w:r>
          </w:p>
        </w:tc>
      </w:tr>
      <w:tr w:rsidR="001D3BD5" w14:paraId="077B2A20" w14:textId="77777777" w:rsidTr="00100BCB">
        <w:trPr>
          <w:gridAfter w:val="2"/>
          <w:wAfter w:w="136" w:type="dxa"/>
          <w:trHeight w:val="600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2A1F" w14:textId="77777777" w:rsidR="00D32DF4" w:rsidRPr="006760CA" w:rsidRDefault="00BF4E45" w:rsidP="00D32DF4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0CA">
              <w:rPr>
                <w:rFonts w:ascii="Verdana" w:eastAsia="Times New Roman" w:hAnsi="Verdana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Источники: </w:t>
            </w:r>
            <w:r w:rsidRPr="007A3CD0">
              <w:rPr>
                <w:rFonts w:ascii="Verdana" w:eastAsia="Times New Roman" w:hAnsi="Verdana" w:cs="Calibri"/>
                <w:bCs/>
                <w:iCs/>
                <w:color w:val="000000"/>
                <w:sz w:val="20"/>
                <w:szCs w:val="20"/>
                <w:lang w:eastAsia="ru-RU"/>
              </w:rPr>
              <w:t>национальные ведомства государств — участников ЕАБР, расчеты аналитиков ЕАБР</w:t>
            </w:r>
          </w:p>
        </w:tc>
      </w:tr>
    </w:tbl>
    <w:bookmarkEnd w:id="1"/>
    <w:p w14:paraId="077B2A21" w14:textId="77777777" w:rsidR="004D67D8" w:rsidRDefault="00BF4E45" w:rsidP="007A3CD0">
      <w:pPr>
        <w:spacing w:before="120" w:after="120" w:line="240" w:lineRule="auto"/>
        <w:rPr>
          <w:rFonts w:ascii="Verdana" w:hAnsi="Verdana" w:cs="Arial"/>
          <w:sz w:val="20"/>
          <w:szCs w:val="20"/>
        </w:rPr>
      </w:pPr>
      <w:r w:rsidRPr="004D67D8">
        <w:rPr>
          <w:rFonts w:ascii="Verdana" w:hAnsi="Verdana" w:cs="Arial"/>
          <w:sz w:val="20"/>
          <w:szCs w:val="20"/>
        </w:rPr>
        <w:t xml:space="preserve">Подробнее с содержанием </w:t>
      </w:r>
      <w:r w:rsidR="00C97077">
        <w:rPr>
          <w:rFonts w:ascii="Verdana" w:hAnsi="Verdana" w:cs="Arial"/>
          <w:sz w:val="20"/>
          <w:szCs w:val="20"/>
        </w:rPr>
        <w:t xml:space="preserve">                             </w:t>
      </w:r>
      <w:r w:rsidR="00C97077">
        <w:rPr>
          <w:rFonts w:ascii="Verdana" w:hAnsi="Verdana" w:cs="Arial"/>
          <w:sz w:val="20"/>
          <w:szCs w:val="20"/>
        </w:rPr>
        <w:br/>
      </w:r>
      <w:r w:rsidRPr="004D67D8">
        <w:rPr>
          <w:rFonts w:ascii="Verdana" w:hAnsi="Verdana" w:cs="Arial"/>
          <w:sz w:val="20"/>
          <w:szCs w:val="20"/>
        </w:rPr>
        <w:t>Макроэ</w:t>
      </w:r>
      <w:r w:rsidR="00F6602C">
        <w:rPr>
          <w:rFonts w:ascii="Verdana" w:hAnsi="Verdana" w:cs="Arial"/>
          <w:sz w:val="20"/>
          <w:szCs w:val="20"/>
        </w:rPr>
        <w:t xml:space="preserve">кономического прогноза можно ознакомиться на </w:t>
      </w:r>
      <w:hyperlink r:id="rId7" w:history="1">
        <w:r w:rsidR="00F6602C" w:rsidRPr="004D67D8">
          <w:rPr>
            <w:rStyle w:val="a4"/>
            <w:rFonts w:ascii="Verdana" w:hAnsi="Verdana" w:cs="Arial"/>
            <w:sz w:val="20"/>
            <w:szCs w:val="20"/>
          </w:rPr>
          <w:t>сайте Банка</w:t>
        </w:r>
      </w:hyperlink>
      <w:r w:rsidR="00F6602C" w:rsidRPr="004D67D8">
        <w:rPr>
          <w:rFonts w:ascii="Verdana" w:hAnsi="Verdana" w:cs="Arial"/>
          <w:sz w:val="20"/>
          <w:szCs w:val="20"/>
        </w:rPr>
        <w:t>.</w:t>
      </w:r>
      <w:r w:rsidR="00264DB1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D67D8">
        <w:rPr>
          <w:rFonts w:ascii="Verdana" w:hAnsi="Verdana" w:cs="Arial"/>
          <w:sz w:val="20"/>
          <w:szCs w:val="20"/>
        </w:rPr>
        <w:t xml:space="preserve"> </w:t>
      </w:r>
    </w:p>
    <w:p w14:paraId="077B2A22" w14:textId="77777777" w:rsidR="00D32DF4" w:rsidRPr="007A3CD0" w:rsidRDefault="00BF4E45" w:rsidP="004D67D8">
      <w:pPr>
        <w:spacing w:before="120" w:after="12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proofErr w:type="spellStart"/>
      <w:r w:rsidRPr="007A3CD0">
        <w:rPr>
          <w:rFonts w:ascii="Verdana" w:hAnsi="Verdana" w:cs="Arial"/>
          <w:b/>
          <w:i/>
          <w:sz w:val="20"/>
          <w:szCs w:val="20"/>
        </w:rPr>
        <w:t>Справочно</w:t>
      </w:r>
      <w:proofErr w:type="spellEnd"/>
      <w:r w:rsidRPr="007A3CD0">
        <w:rPr>
          <w:rFonts w:ascii="Verdana" w:hAnsi="Verdana" w:cs="Arial"/>
          <w:b/>
          <w:i/>
          <w:sz w:val="20"/>
          <w:szCs w:val="20"/>
        </w:rPr>
        <w:t>:</w:t>
      </w:r>
    </w:p>
    <w:p w14:paraId="077B2A23" w14:textId="77777777" w:rsidR="00440E47" w:rsidRPr="00254861" w:rsidRDefault="00BF4E45" w:rsidP="00440E47">
      <w:pPr>
        <w:spacing w:before="100" w:beforeAutospacing="1" w:after="100" w:afterAutospacing="1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254861">
        <w:rPr>
          <w:rFonts w:ascii="Verdana" w:hAnsi="Verdana" w:cs="Arial"/>
          <w:i/>
          <w:sz w:val="20"/>
          <w:szCs w:val="20"/>
        </w:rPr>
        <w:t xml:space="preserve">Евразийский банк развития опубликовал </w:t>
      </w:r>
      <w:hyperlink r:id="rId8" w:history="1">
        <w:r w:rsidR="00440E47" w:rsidRPr="00254861">
          <w:rPr>
            <w:rStyle w:val="a4"/>
            <w:rFonts w:ascii="Verdana" w:hAnsi="Verdana" w:cs="Arial"/>
            <w:i/>
            <w:sz w:val="20"/>
            <w:szCs w:val="20"/>
          </w:rPr>
          <w:t>рабочий документ</w:t>
        </w:r>
      </w:hyperlink>
      <w:r w:rsidRPr="00254861">
        <w:rPr>
          <w:rFonts w:ascii="Verdana" w:hAnsi="Verdana" w:cs="Arial"/>
          <w:i/>
          <w:sz w:val="20"/>
          <w:szCs w:val="20"/>
        </w:rPr>
        <w:t xml:space="preserve"> «Модель для макроэкономического анализа и прогнозирования экономики Узбекистана». Новый модельный инструментарий позволяет анализировать и прогнозировать макроэкономические тенденции в Узбекистане. Благодаря его интеграции в </w:t>
      </w:r>
      <w:hyperlink r:id="rId9" w:history="1">
        <w:r w:rsidR="00440E47" w:rsidRPr="00254861">
          <w:rPr>
            <w:rStyle w:val="a4"/>
            <w:rFonts w:ascii="Verdana" w:hAnsi="Verdana" w:cs="Arial"/>
            <w:i/>
            <w:sz w:val="20"/>
            <w:szCs w:val="20"/>
          </w:rPr>
          <w:t>модельный комплекс ЕАБР</w:t>
        </w:r>
      </w:hyperlink>
      <w:r w:rsidRPr="00254861">
        <w:rPr>
          <w:rFonts w:ascii="Verdana" w:hAnsi="Verdana" w:cs="Arial"/>
          <w:i/>
          <w:sz w:val="20"/>
          <w:szCs w:val="20"/>
        </w:rPr>
        <w:t xml:space="preserve"> становится возможным более точное и комплексное прогнозирование экономического развития региона операций Банка, учитывающее тесные </w:t>
      </w:r>
      <w:proofErr w:type="spellStart"/>
      <w:r w:rsidRPr="00254861">
        <w:rPr>
          <w:rFonts w:ascii="Verdana" w:hAnsi="Verdana" w:cs="Arial"/>
          <w:i/>
          <w:sz w:val="20"/>
          <w:szCs w:val="20"/>
        </w:rPr>
        <w:t>межстрановые</w:t>
      </w:r>
      <w:proofErr w:type="spellEnd"/>
      <w:r w:rsidRPr="00254861">
        <w:rPr>
          <w:rFonts w:ascii="Verdana" w:hAnsi="Verdana" w:cs="Arial"/>
          <w:i/>
          <w:sz w:val="20"/>
          <w:szCs w:val="20"/>
        </w:rPr>
        <w:t xml:space="preserve"> взаимосвязи.</w:t>
      </w:r>
    </w:p>
    <w:p w14:paraId="077B2A24" w14:textId="77777777" w:rsidR="00EE16B3" w:rsidRPr="007E3269" w:rsidRDefault="00BF4E45" w:rsidP="00EE16B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Verdana" w:hAnsi="Verdana" w:cs="Brown LL Pan"/>
          <w:b/>
          <w:color w:val="000000"/>
          <w:spacing w:val="-2"/>
          <w:sz w:val="22"/>
          <w:szCs w:val="22"/>
        </w:rPr>
      </w:pPr>
      <w:r w:rsidRPr="007E3269">
        <w:rPr>
          <w:rStyle w:val="af"/>
          <w:rFonts w:ascii="Verdana" w:hAnsi="Verdana" w:cs="Cambria"/>
          <w:b/>
          <w:spacing w:val="-2"/>
          <w:sz w:val="22"/>
          <w:szCs w:val="22"/>
          <w:bdr w:val="none" w:sz="0" w:space="0" w:color="auto" w:frame="1"/>
        </w:rPr>
        <w:t>Справ</w:t>
      </w:r>
      <w:r>
        <w:rPr>
          <w:rStyle w:val="af"/>
          <w:rFonts w:ascii="Verdana" w:hAnsi="Verdana" w:cs="Cambria"/>
          <w:b/>
          <w:spacing w:val="-2"/>
          <w:sz w:val="22"/>
          <w:szCs w:val="22"/>
          <w:bdr w:val="none" w:sz="0" w:space="0" w:color="auto" w:frame="1"/>
        </w:rPr>
        <w:t>ка</w:t>
      </w:r>
      <w:r w:rsidRPr="007E3269">
        <w:rPr>
          <w:rStyle w:val="af"/>
          <w:rFonts w:ascii="Verdana" w:hAnsi="Verdana" w:cs="Brown LL Pan"/>
          <w:b/>
          <w:spacing w:val="-2"/>
          <w:sz w:val="22"/>
          <w:szCs w:val="22"/>
          <w:bdr w:val="none" w:sz="0" w:space="0" w:color="auto" w:frame="1"/>
        </w:rPr>
        <w:t>:</w:t>
      </w:r>
    </w:p>
    <w:p w14:paraId="077B2A25" w14:textId="77777777" w:rsidR="00EE16B3" w:rsidRDefault="00BF4E45" w:rsidP="00EE16B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f"/>
          <w:rFonts w:ascii="Verdana" w:hAnsi="Verdana" w:cs="Brown LL Pan"/>
          <w:spacing w:val="-2"/>
          <w:sz w:val="22"/>
          <w:szCs w:val="22"/>
          <w:bdr w:val="none" w:sz="0" w:space="0" w:color="auto" w:frame="1"/>
        </w:rPr>
      </w:pPr>
      <w:r w:rsidRPr="007E3269">
        <w:rPr>
          <w:rFonts w:ascii="Verdana" w:hAnsi="Verdana" w:cs="Cambria"/>
          <w:b/>
          <w:i/>
          <w:iCs/>
          <w:spacing w:val="-2"/>
          <w:sz w:val="22"/>
          <w:szCs w:val="22"/>
          <w:bdr w:val="none" w:sz="0" w:space="0" w:color="auto" w:frame="1"/>
        </w:rPr>
        <w:t>Евразийский</w:t>
      </w:r>
      <w:r w:rsidRPr="007E3269">
        <w:rPr>
          <w:rFonts w:ascii="Verdana" w:hAnsi="Verdana" w:cs="Brown LL Pan"/>
          <w:b/>
          <w:i/>
          <w:iCs/>
          <w:spacing w:val="-2"/>
          <w:sz w:val="22"/>
          <w:szCs w:val="22"/>
          <w:bdr w:val="none" w:sz="0" w:space="0" w:color="auto" w:frame="1"/>
        </w:rPr>
        <w:t xml:space="preserve"> </w:t>
      </w:r>
      <w:r w:rsidRPr="007E3269">
        <w:rPr>
          <w:rFonts w:ascii="Verdana" w:hAnsi="Verdana" w:cs="Cambria"/>
          <w:b/>
          <w:i/>
          <w:iCs/>
          <w:spacing w:val="-2"/>
          <w:sz w:val="22"/>
          <w:szCs w:val="22"/>
          <w:bdr w:val="none" w:sz="0" w:space="0" w:color="auto" w:frame="1"/>
        </w:rPr>
        <w:t>банк</w:t>
      </w:r>
      <w:r w:rsidRPr="007E3269">
        <w:rPr>
          <w:rFonts w:ascii="Verdana" w:hAnsi="Verdana" w:cs="Brown LL Pan"/>
          <w:b/>
          <w:i/>
          <w:iCs/>
          <w:spacing w:val="-2"/>
          <w:sz w:val="22"/>
          <w:szCs w:val="22"/>
          <w:bdr w:val="none" w:sz="0" w:space="0" w:color="auto" w:frame="1"/>
        </w:rPr>
        <w:t xml:space="preserve"> </w:t>
      </w:r>
      <w:r w:rsidRPr="007E3269">
        <w:rPr>
          <w:rFonts w:ascii="Verdana" w:hAnsi="Verdana" w:cs="Cambria"/>
          <w:b/>
          <w:i/>
          <w:iCs/>
          <w:spacing w:val="-2"/>
          <w:sz w:val="22"/>
          <w:szCs w:val="22"/>
          <w:bdr w:val="none" w:sz="0" w:space="0" w:color="auto" w:frame="1"/>
        </w:rPr>
        <w:t>развития</w:t>
      </w:r>
      <w:r w:rsidRPr="007E3269">
        <w:rPr>
          <w:rFonts w:ascii="Verdana" w:hAnsi="Verdana" w:cs="Brown LL Pan"/>
          <w:b/>
          <w:i/>
          <w:iCs/>
          <w:spacing w:val="-2"/>
          <w:sz w:val="22"/>
          <w:szCs w:val="22"/>
          <w:bdr w:val="none" w:sz="0" w:space="0" w:color="auto" w:frame="1"/>
        </w:rPr>
        <w:t xml:space="preserve"> (</w:t>
      </w:r>
      <w:r w:rsidRPr="007E3269">
        <w:rPr>
          <w:rFonts w:ascii="Verdana" w:hAnsi="Verdana" w:cs="Cambria"/>
          <w:b/>
          <w:i/>
          <w:iCs/>
          <w:spacing w:val="-2"/>
          <w:sz w:val="22"/>
          <w:szCs w:val="22"/>
          <w:bdr w:val="none" w:sz="0" w:space="0" w:color="auto" w:frame="1"/>
        </w:rPr>
        <w:t>ЕАБР</w:t>
      </w:r>
      <w:r w:rsidRPr="007E3269">
        <w:rPr>
          <w:rFonts w:ascii="Verdana" w:hAnsi="Verdana" w:cs="Brown LL Pan"/>
          <w:b/>
          <w:i/>
          <w:iCs/>
          <w:spacing w:val="-2"/>
          <w:sz w:val="22"/>
          <w:szCs w:val="22"/>
          <w:bdr w:val="none" w:sz="0" w:space="0" w:color="auto" w:frame="1"/>
        </w:rPr>
        <w:t>)</w:t>
      </w:r>
      <w:r w:rsidRPr="007E3269">
        <w:rPr>
          <w:rFonts w:ascii="Verdana" w:hAnsi="Verdana" w:cs="Brown LL Pan"/>
          <w:i/>
          <w:iCs/>
          <w:spacing w:val="-2"/>
          <w:sz w:val="22"/>
          <w:szCs w:val="22"/>
          <w:bdr w:val="none" w:sz="0" w:space="0" w:color="auto" w:frame="1"/>
        </w:rPr>
        <w:t> </w:t>
      </w:r>
      <w:r>
        <w:rPr>
          <w:rFonts w:ascii="Verdana" w:hAnsi="Verdana" w:cs="Arial"/>
          <w:i/>
        </w:rPr>
        <w:t>—</w:t>
      </w:r>
      <w:r w:rsidRPr="007E3269">
        <w:rPr>
          <w:rStyle w:val="af"/>
          <w:rFonts w:ascii="Verdana" w:hAnsi="Verdana" w:cs="Brown LL Pan"/>
          <w:spacing w:val="-2"/>
          <w:sz w:val="22"/>
          <w:szCs w:val="22"/>
          <w:bdr w:val="none" w:sz="0" w:space="0" w:color="auto" w:frame="1"/>
        </w:rPr>
        <w:t xml:space="preserve"> многосторонний банк развития, осуществляющий инвестиционную деятельность на евразийском пространстве. Уже более 1</w:t>
      </w:r>
      <w:r w:rsidR="00B572A3">
        <w:rPr>
          <w:rStyle w:val="af"/>
          <w:rFonts w:ascii="Verdana" w:hAnsi="Verdana" w:cs="Brown LL Pan"/>
          <w:spacing w:val="-2"/>
          <w:sz w:val="22"/>
          <w:szCs w:val="22"/>
          <w:bdr w:val="none" w:sz="0" w:space="0" w:color="auto" w:frame="1"/>
        </w:rPr>
        <w:t>9</w:t>
      </w:r>
      <w:r w:rsidRPr="007E3269">
        <w:rPr>
          <w:rStyle w:val="af"/>
          <w:rFonts w:ascii="Verdana" w:hAnsi="Verdana" w:cs="Brown LL Pan"/>
          <w:spacing w:val="-2"/>
          <w:sz w:val="22"/>
          <w:szCs w:val="22"/>
          <w:bdr w:val="none" w:sz="0" w:space="0" w:color="auto" w:frame="1"/>
        </w:rPr>
        <w:t xml:space="preserve"> лет ЕАБР содействует укреплению и </w:t>
      </w:r>
      <w:proofErr w:type="gramStart"/>
      <w:r w:rsidRPr="007E3269">
        <w:rPr>
          <w:rStyle w:val="af"/>
          <w:rFonts w:ascii="Verdana" w:hAnsi="Verdana" w:cs="Brown LL Pan"/>
          <w:spacing w:val="-2"/>
          <w:sz w:val="22"/>
          <w:szCs w:val="22"/>
          <w:bdr w:val="none" w:sz="0" w:space="0" w:color="auto" w:frame="1"/>
        </w:rPr>
        <w:t>расширению экономических связей</w:t>
      </w:r>
      <w:proofErr w:type="gramEnd"/>
      <w:r w:rsidRPr="007E3269">
        <w:rPr>
          <w:rStyle w:val="af"/>
          <w:rFonts w:ascii="Verdana" w:hAnsi="Verdana" w:cs="Brown LL Pan"/>
          <w:spacing w:val="-2"/>
          <w:sz w:val="22"/>
          <w:szCs w:val="22"/>
          <w:bdr w:val="none" w:sz="0" w:space="0" w:color="auto" w:frame="1"/>
        </w:rPr>
        <w:t xml:space="preserve"> и всестороннему развитию стран-участниц. К 2025 году в накопленном портфеле ЕАБР 305 проектов с общим объемом инвестиций на сумму 16,5 млрд долл. США. Основную долю в портфеле ЕАБР занимают проекты с интеграционным эффектом в сферах транспортной инфраструктуры, цифровых систем, зеленой энергетики, сельского хозяйства, промышленности и машиностроения. В своей деятельности Банк руководствуется Целями в области устойчивого развития ООН и принципами ESG.</w:t>
      </w:r>
    </w:p>
    <w:p w14:paraId="077B2A26" w14:textId="77777777" w:rsidR="00EE16B3" w:rsidRPr="007E3269" w:rsidRDefault="00EE16B3" w:rsidP="00EE16B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Verdana" w:hAnsi="Verdana" w:cs="Brown LL Pan"/>
          <w:color w:val="000000"/>
          <w:spacing w:val="-2"/>
          <w:sz w:val="22"/>
          <w:szCs w:val="22"/>
        </w:rPr>
      </w:pPr>
    </w:p>
    <w:p w14:paraId="077B2A27" w14:textId="77777777" w:rsidR="00EE16B3" w:rsidRPr="00A44C5C" w:rsidRDefault="00BF4E45" w:rsidP="00EE16B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Verdana" w:hAnsi="Verdana" w:cs="Brown LL Pan"/>
          <w:b/>
          <w:color w:val="000000"/>
          <w:spacing w:val="-2"/>
          <w:sz w:val="22"/>
          <w:szCs w:val="22"/>
        </w:rPr>
      </w:pPr>
      <w:r w:rsidRPr="00A44C5C">
        <w:rPr>
          <w:rFonts w:ascii="Verdana" w:hAnsi="Verdana" w:cs="Brown LL Pan"/>
          <w:b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>Контакты пресс-центра ЕАБР:</w:t>
      </w:r>
    </w:p>
    <w:p w14:paraId="077B2A28" w14:textId="77777777" w:rsidR="00EE16B3" w:rsidRPr="007E3269" w:rsidRDefault="00BF4E45" w:rsidP="00EE16B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Verdana" w:hAnsi="Verdana" w:cs="Brown LL Pan"/>
          <w:color w:val="000000"/>
          <w:spacing w:val="-2"/>
          <w:sz w:val="22"/>
          <w:szCs w:val="22"/>
        </w:rPr>
      </w:pPr>
      <w:r w:rsidRPr="007E3269">
        <w:rPr>
          <w:rFonts w:ascii="Verdana" w:hAnsi="Verdana" w:cs="Brown LL Pan"/>
          <w:i/>
          <w:iCs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+7 (727) 244 40 44, </w:t>
      </w:r>
      <w:r w:rsidRPr="007E3269">
        <w:rPr>
          <w:rFonts w:ascii="Verdana" w:hAnsi="Verdana" w:cs="Cambria"/>
          <w:i/>
          <w:iCs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>доб</w:t>
      </w:r>
      <w:r w:rsidRPr="007E3269">
        <w:rPr>
          <w:rFonts w:ascii="Verdana" w:hAnsi="Verdana" w:cs="Brown LL Pan"/>
          <w:i/>
          <w:iCs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. 6148 </w:t>
      </w:r>
      <w:r w:rsidRPr="007E3269">
        <w:rPr>
          <w:rFonts w:ascii="Verdana" w:hAnsi="Verdana" w:cs="Cambria"/>
          <w:i/>
          <w:iCs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>и</w:t>
      </w:r>
      <w:r w:rsidRPr="007E3269">
        <w:rPr>
          <w:rFonts w:ascii="Verdana" w:hAnsi="Verdana" w:cs="Brown LL Pan"/>
          <w:i/>
          <w:iCs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 3730</w:t>
      </w:r>
    </w:p>
    <w:p w14:paraId="077B2A29" w14:textId="6B2376C3" w:rsidR="00310E25" w:rsidRDefault="00310E25">
      <w:pPr>
        <w:spacing w:after="0" w:line="240" w:lineRule="auto"/>
        <w:rPr>
          <w:rFonts w:ascii="Verdana" w:hAnsi="Verdana" w:cs="Arial"/>
          <w:color w:val="000000"/>
          <w:spacing w:val="-2"/>
          <w:sz w:val="20"/>
          <w:szCs w:val="20"/>
        </w:rPr>
      </w:pPr>
      <w:bookmarkStart w:id="2" w:name="_GoBack"/>
      <w:bookmarkEnd w:id="2"/>
    </w:p>
    <w:sectPr w:rsidR="00310E25" w:rsidSect="000D5DF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7B2A2E" w16cid:durableId="077B2A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wn LL Pan">
    <w:altName w:val="Arial"/>
    <w:panose1 w:val="020B0504010101010104"/>
    <w:charset w:val="00"/>
    <w:family w:val="swiss"/>
    <w:notTrueType/>
    <w:pitch w:val="variable"/>
    <w:sig w:usb0="A00002FF" w:usb1="4000F0FB" w:usb2="00000008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85"/>
    <w:rsid w:val="00001007"/>
    <w:rsid w:val="000038D6"/>
    <w:rsid w:val="00003F1D"/>
    <w:rsid w:val="00006828"/>
    <w:rsid w:val="00013B4D"/>
    <w:rsid w:val="00013DDB"/>
    <w:rsid w:val="00014514"/>
    <w:rsid w:val="00015DC0"/>
    <w:rsid w:val="00045F95"/>
    <w:rsid w:val="00051157"/>
    <w:rsid w:val="000522E8"/>
    <w:rsid w:val="00053E6D"/>
    <w:rsid w:val="00055954"/>
    <w:rsid w:val="00060D75"/>
    <w:rsid w:val="000620C6"/>
    <w:rsid w:val="000636C4"/>
    <w:rsid w:val="00064BCD"/>
    <w:rsid w:val="00064F39"/>
    <w:rsid w:val="0006538B"/>
    <w:rsid w:val="0008624E"/>
    <w:rsid w:val="000928AC"/>
    <w:rsid w:val="000935C2"/>
    <w:rsid w:val="00094292"/>
    <w:rsid w:val="0009782D"/>
    <w:rsid w:val="000C25AD"/>
    <w:rsid w:val="000C5255"/>
    <w:rsid w:val="000C780F"/>
    <w:rsid w:val="000D14AD"/>
    <w:rsid w:val="000D5BDF"/>
    <w:rsid w:val="000D5DFD"/>
    <w:rsid w:val="000E2999"/>
    <w:rsid w:val="000E5D9B"/>
    <w:rsid w:val="000F13C3"/>
    <w:rsid w:val="000F3557"/>
    <w:rsid w:val="000F6603"/>
    <w:rsid w:val="001003D8"/>
    <w:rsid w:val="00100BCB"/>
    <w:rsid w:val="0011670A"/>
    <w:rsid w:val="00116D1A"/>
    <w:rsid w:val="00117A8C"/>
    <w:rsid w:val="001235D5"/>
    <w:rsid w:val="00124382"/>
    <w:rsid w:val="00136286"/>
    <w:rsid w:val="00142D7E"/>
    <w:rsid w:val="001473DB"/>
    <w:rsid w:val="00151014"/>
    <w:rsid w:val="00153FD0"/>
    <w:rsid w:val="00154995"/>
    <w:rsid w:val="00160F03"/>
    <w:rsid w:val="00164ABA"/>
    <w:rsid w:val="00165A85"/>
    <w:rsid w:val="00173215"/>
    <w:rsid w:val="00173353"/>
    <w:rsid w:val="001772A6"/>
    <w:rsid w:val="00182B5C"/>
    <w:rsid w:val="001949E3"/>
    <w:rsid w:val="001A6A55"/>
    <w:rsid w:val="001B4249"/>
    <w:rsid w:val="001B50CD"/>
    <w:rsid w:val="001B7A84"/>
    <w:rsid w:val="001B7F1C"/>
    <w:rsid w:val="001C0DE7"/>
    <w:rsid w:val="001D3616"/>
    <w:rsid w:val="001D3BD5"/>
    <w:rsid w:val="001E1E3E"/>
    <w:rsid w:val="001E23D7"/>
    <w:rsid w:val="00210160"/>
    <w:rsid w:val="00216195"/>
    <w:rsid w:val="0021625A"/>
    <w:rsid w:val="00222830"/>
    <w:rsid w:val="00231333"/>
    <w:rsid w:val="00237A44"/>
    <w:rsid w:val="00245719"/>
    <w:rsid w:val="00246219"/>
    <w:rsid w:val="0024773C"/>
    <w:rsid w:val="00254861"/>
    <w:rsid w:val="00261714"/>
    <w:rsid w:val="00262B22"/>
    <w:rsid w:val="00264DB1"/>
    <w:rsid w:val="0027089F"/>
    <w:rsid w:val="00270BEA"/>
    <w:rsid w:val="002711C7"/>
    <w:rsid w:val="00276A31"/>
    <w:rsid w:val="00277933"/>
    <w:rsid w:val="002A2BE0"/>
    <w:rsid w:val="002A6AA9"/>
    <w:rsid w:val="002B3BB7"/>
    <w:rsid w:val="002C6167"/>
    <w:rsid w:val="002C7A05"/>
    <w:rsid w:val="002D1AD3"/>
    <w:rsid w:val="002D5C1D"/>
    <w:rsid w:val="002E2145"/>
    <w:rsid w:val="002F0B7E"/>
    <w:rsid w:val="002F72D8"/>
    <w:rsid w:val="00303332"/>
    <w:rsid w:val="003035A0"/>
    <w:rsid w:val="00310E25"/>
    <w:rsid w:val="003206F3"/>
    <w:rsid w:val="00323CEC"/>
    <w:rsid w:val="00335AFB"/>
    <w:rsid w:val="00337CC1"/>
    <w:rsid w:val="00354BA5"/>
    <w:rsid w:val="003555F4"/>
    <w:rsid w:val="00360B6B"/>
    <w:rsid w:val="003611F0"/>
    <w:rsid w:val="003620C4"/>
    <w:rsid w:val="00370964"/>
    <w:rsid w:val="00385646"/>
    <w:rsid w:val="00392762"/>
    <w:rsid w:val="003A3B68"/>
    <w:rsid w:val="003A51BD"/>
    <w:rsid w:val="003B03DF"/>
    <w:rsid w:val="003B3BE0"/>
    <w:rsid w:val="003B49EC"/>
    <w:rsid w:val="003C2DD8"/>
    <w:rsid w:val="003E0D04"/>
    <w:rsid w:val="003F2756"/>
    <w:rsid w:val="003F453C"/>
    <w:rsid w:val="0040044E"/>
    <w:rsid w:val="00400F2A"/>
    <w:rsid w:val="00406831"/>
    <w:rsid w:val="00416E74"/>
    <w:rsid w:val="004250A6"/>
    <w:rsid w:val="00430303"/>
    <w:rsid w:val="00440E47"/>
    <w:rsid w:val="0044294B"/>
    <w:rsid w:val="0045082B"/>
    <w:rsid w:val="00450BB1"/>
    <w:rsid w:val="00457F6E"/>
    <w:rsid w:val="00470DD9"/>
    <w:rsid w:val="00471C01"/>
    <w:rsid w:val="00475785"/>
    <w:rsid w:val="004771FB"/>
    <w:rsid w:val="00484FD5"/>
    <w:rsid w:val="004B21EA"/>
    <w:rsid w:val="004B7383"/>
    <w:rsid w:val="004D4860"/>
    <w:rsid w:val="004D67D8"/>
    <w:rsid w:val="004D70E7"/>
    <w:rsid w:val="004E44B7"/>
    <w:rsid w:val="004E713D"/>
    <w:rsid w:val="004F6BDD"/>
    <w:rsid w:val="0050531F"/>
    <w:rsid w:val="00511815"/>
    <w:rsid w:val="00514F3A"/>
    <w:rsid w:val="00516796"/>
    <w:rsid w:val="005232F6"/>
    <w:rsid w:val="0052333D"/>
    <w:rsid w:val="00531DF1"/>
    <w:rsid w:val="005340BE"/>
    <w:rsid w:val="00543B9B"/>
    <w:rsid w:val="0054424F"/>
    <w:rsid w:val="00552F48"/>
    <w:rsid w:val="005532C0"/>
    <w:rsid w:val="00562B1E"/>
    <w:rsid w:val="0057059E"/>
    <w:rsid w:val="005714F3"/>
    <w:rsid w:val="00592C85"/>
    <w:rsid w:val="005A0175"/>
    <w:rsid w:val="005B2358"/>
    <w:rsid w:val="005B2969"/>
    <w:rsid w:val="005B4BBD"/>
    <w:rsid w:val="005B7A65"/>
    <w:rsid w:val="005B7B98"/>
    <w:rsid w:val="005C57E1"/>
    <w:rsid w:val="005C7E00"/>
    <w:rsid w:val="005D1771"/>
    <w:rsid w:val="005D44E3"/>
    <w:rsid w:val="005D5ACE"/>
    <w:rsid w:val="005E3D08"/>
    <w:rsid w:val="005E463A"/>
    <w:rsid w:val="005E476A"/>
    <w:rsid w:val="005F0865"/>
    <w:rsid w:val="005F0E7E"/>
    <w:rsid w:val="005F167E"/>
    <w:rsid w:val="005F5CB6"/>
    <w:rsid w:val="005F75BC"/>
    <w:rsid w:val="006025FC"/>
    <w:rsid w:val="00604C64"/>
    <w:rsid w:val="00616C69"/>
    <w:rsid w:val="00624255"/>
    <w:rsid w:val="0062476D"/>
    <w:rsid w:val="006314E4"/>
    <w:rsid w:val="006330CD"/>
    <w:rsid w:val="00633B83"/>
    <w:rsid w:val="00633EA4"/>
    <w:rsid w:val="006503C5"/>
    <w:rsid w:val="0065285E"/>
    <w:rsid w:val="00654407"/>
    <w:rsid w:val="006760CA"/>
    <w:rsid w:val="006777DB"/>
    <w:rsid w:val="0069250D"/>
    <w:rsid w:val="006A1675"/>
    <w:rsid w:val="006A29B7"/>
    <w:rsid w:val="006A2C55"/>
    <w:rsid w:val="006A7A93"/>
    <w:rsid w:val="006C21D8"/>
    <w:rsid w:val="006D37D3"/>
    <w:rsid w:val="006E0A81"/>
    <w:rsid w:val="006E4421"/>
    <w:rsid w:val="006F1A3E"/>
    <w:rsid w:val="006F2374"/>
    <w:rsid w:val="00710C9D"/>
    <w:rsid w:val="00712ED2"/>
    <w:rsid w:val="00716B8D"/>
    <w:rsid w:val="00717505"/>
    <w:rsid w:val="00721C35"/>
    <w:rsid w:val="00726BD1"/>
    <w:rsid w:val="00732D50"/>
    <w:rsid w:val="007358B4"/>
    <w:rsid w:val="00744062"/>
    <w:rsid w:val="00746280"/>
    <w:rsid w:val="00746EA0"/>
    <w:rsid w:val="00747866"/>
    <w:rsid w:val="00766A61"/>
    <w:rsid w:val="00766CA1"/>
    <w:rsid w:val="0076720E"/>
    <w:rsid w:val="00767DBB"/>
    <w:rsid w:val="007774DD"/>
    <w:rsid w:val="0077761D"/>
    <w:rsid w:val="007811A7"/>
    <w:rsid w:val="00787833"/>
    <w:rsid w:val="00787ABC"/>
    <w:rsid w:val="007971AE"/>
    <w:rsid w:val="007A1CC2"/>
    <w:rsid w:val="007A3CD0"/>
    <w:rsid w:val="007A4948"/>
    <w:rsid w:val="007B1FF4"/>
    <w:rsid w:val="007B71D9"/>
    <w:rsid w:val="007C1823"/>
    <w:rsid w:val="007D395E"/>
    <w:rsid w:val="007E27D2"/>
    <w:rsid w:val="007E3269"/>
    <w:rsid w:val="007F5A7F"/>
    <w:rsid w:val="00806371"/>
    <w:rsid w:val="008110EB"/>
    <w:rsid w:val="00813BB6"/>
    <w:rsid w:val="00815961"/>
    <w:rsid w:val="0082228C"/>
    <w:rsid w:val="00827EEF"/>
    <w:rsid w:val="00831765"/>
    <w:rsid w:val="00835002"/>
    <w:rsid w:val="00841980"/>
    <w:rsid w:val="00844A7A"/>
    <w:rsid w:val="00844F32"/>
    <w:rsid w:val="008469B9"/>
    <w:rsid w:val="00853596"/>
    <w:rsid w:val="00856EEA"/>
    <w:rsid w:val="00857D0A"/>
    <w:rsid w:val="008650E1"/>
    <w:rsid w:val="008701B2"/>
    <w:rsid w:val="00870537"/>
    <w:rsid w:val="008726F7"/>
    <w:rsid w:val="0087358D"/>
    <w:rsid w:val="00886C23"/>
    <w:rsid w:val="0089385A"/>
    <w:rsid w:val="00895F92"/>
    <w:rsid w:val="008A1A39"/>
    <w:rsid w:val="008A280E"/>
    <w:rsid w:val="008C084E"/>
    <w:rsid w:val="008C35A8"/>
    <w:rsid w:val="008C4260"/>
    <w:rsid w:val="008C44E9"/>
    <w:rsid w:val="008D016C"/>
    <w:rsid w:val="008E644B"/>
    <w:rsid w:val="0090225A"/>
    <w:rsid w:val="009022C5"/>
    <w:rsid w:val="00905224"/>
    <w:rsid w:val="00905D25"/>
    <w:rsid w:val="00915C8F"/>
    <w:rsid w:val="00917DE3"/>
    <w:rsid w:val="00921C46"/>
    <w:rsid w:val="009333E3"/>
    <w:rsid w:val="00935333"/>
    <w:rsid w:val="0093554F"/>
    <w:rsid w:val="009403CB"/>
    <w:rsid w:val="00942A0B"/>
    <w:rsid w:val="009454AC"/>
    <w:rsid w:val="009472DF"/>
    <w:rsid w:val="00950C55"/>
    <w:rsid w:val="00953495"/>
    <w:rsid w:val="00954CFE"/>
    <w:rsid w:val="00955E5A"/>
    <w:rsid w:val="00964535"/>
    <w:rsid w:val="00966318"/>
    <w:rsid w:val="00967C80"/>
    <w:rsid w:val="00972248"/>
    <w:rsid w:val="00976671"/>
    <w:rsid w:val="00976877"/>
    <w:rsid w:val="00993A87"/>
    <w:rsid w:val="009A390A"/>
    <w:rsid w:val="009A46EB"/>
    <w:rsid w:val="009B2956"/>
    <w:rsid w:val="009B6FBB"/>
    <w:rsid w:val="009C025C"/>
    <w:rsid w:val="009C512E"/>
    <w:rsid w:val="009C69ED"/>
    <w:rsid w:val="009D24CB"/>
    <w:rsid w:val="009D283B"/>
    <w:rsid w:val="009E1E37"/>
    <w:rsid w:val="009F089E"/>
    <w:rsid w:val="009F45AA"/>
    <w:rsid w:val="00A02805"/>
    <w:rsid w:val="00A07122"/>
    <w:rsid w:val="00A12991"/>
    <w:rsid w:val="00A16A2D"/>
    <w:rsid w:val="00A22CCD"/>
    <w:rsid w:val="00A4239A"/>
    <w:rsid w:val="00A44C5C"/>
    <w:rsid w:val="00A47BEA"/>
    <w:rsid w:val="00A520B4"/>
    <w:rsid w:val="00A53E3E"/>
    <w:rsid w:val="00A569BF"/>
    <w:rsid w:val="00A6300A"/>
    <w:rsid w:val="00A75C1A"/>
    <w:rsid w:val="00A76A3A"/>
    <w:rsid w:val="00A803A0"/>
    <w:rsid w:val="00A81021"/>
    <w:rsid w:val="00A8532D"/>
    <w:rsid w:val="00A95432"/>
    <w:rsid w:val="00A9682C"/>
    <w:rsid w:val="00AB7DA3"/>
    <w:rsid w:val="00AC62BC"/>
    <w:rsid w:val="00AF028D"/>
    <w:rsid w:val="00AF038D"/>
    <w:rsid w:val="00AF6CBA"/>
    <w:rsid w:val="00B003E7"/>
    <w:rsid w:val="00B05CF2"/>
    <w:rsid w:val="00B06958"/>
    <w:rsid w:val="00B13483"/>
    <w:rsid w:val="00B14E68"/>
    <w:rsid w:val="00B15CAC"/>
    <w:rsid w:val="00B205F3"/>
    <w:rsid w:val="00B238F8"/>
    <w:rsid w:val="00B2395A"/>
    <w:rsid w:val="00B24FFE"/>
    <w:rsid w:val="00B31D06"/>
    <w:rsid w:val="00B44547"/>
    <w:rsid w:val="00B47FC7"/>
    <w:rsid w:val="00B53D43"/>
    <w:rsid w:val="00B563DA"/>
    <w:rsid w:val="00B572A3"/>
    <w:rsid w:val="00B60608"/>
    <w:rsid w:val="00B63355"/>
    <w:rsid w:val="00B84690"/>
    <w:rsid w:val="00B872DB"/>
    <w:rsid w:val="00B93A35"/>
    <w:rsid w:val="00BB3582"/>
    <w:rsid w:val="00BC0EB7"/>
    <w:rsid w:val="00BC2708"/>
    <w:rsid w:val="00BC4EEF"/>
    <w:rsid w:val="00BF2507"/>
    <w:rsid w:val="00BF4E45"/>
    <w:rsid w:val="00C01FFF"/>
    <w:rsid w:val="00C06A3C"/>
    <w:rsid w:val="00C12774"/>
    <w:rsid w:val="00C14096"/>
    <w:rsid w:val="00C22450"/>
    <w:rsid w:val="00C23B0D"/>
    <w:rsid w:val="00C26F3B"/>
    <w:rsid w:val="00C27A85"/>
    <w:rsid w:val="00C31F08"/>
    <w:rsid w:val="00C33E62"/>
    <w:rsid w:val="00C3621A"/>
    <w:rsid w:val="00C401FA"/>
    <w:rsid w:val="00C51570"/>
    <w:rsid w:val="00C51DF0"/>
    <w:rsid w:val="00C6678A"/>
    <w:rsid w:val="00C66DE3"/>
    <w:rsid w:val="00C70EE8"/>
    <w:rsid w:val="00C71517"/>
    <w:rsid w:val="00C7153B"/>
    <w:rsid w:val="00C863E3"/>
    <w:rsid w:val="00C87C45"/>
    <w:rsid w:val="00C97077"/>
    <w:rsid w:val="00C977FC"/>
    <w:rsid w:val="00CA7A29"/>
    <w:rsid w:val="00CB0656"/>
    <w:rsid w:val="00CB1951"/>
    <w:rsid w:val="00CB41A3"/>
    <w:rsid w:val="00CC1CB0"/>
    <w:rsid w:val="00CC7543"/>
    <w:rsid w:val="00CD6FFD"/>
    <w:rsid w:val="00CD765E"/>
    <w:rsid w:val="00CE5665"/>
    <w:rsid w:val="00CE6BA2"/>
    <w:rsid w:val="00CF1337"/>
    <w:rsid w:val="00CF4352"/>
    <w:rsid w:val="00CF475B"/>
    <w:rsid w:val="00D2024C"/>
    <w:rsid w:val="00D216D6"/>
    <w:rsid w:val="00D26241"/>
    <w:rsid w:val="00D32DF4"/>
    <w:rsid w:val="00D32E82"/>
    <w:rsid w:val="00D331AF"/>
    <w:rsid w:val="00D351A5"/>
    <w:rsid w:val="00D55188"/>
    <w:rsid w:val="00D56FA8"/>
    <w:rsid w:val="00D63962"/>
    <w:rsid w:val="00D64DA7"/>
    <w:rsid w:val="00D74A25"/>
    <w:rsid w:val="00D76537"/>
    <w:rsid w:val="00D777A3"/>
    <w:rsid w:val="00D8407B"/>
    <w:rsid w:val="00D93D30"/>
    <w:rsid w:val="00DA1219"/>
    <w:rsid w:val="00DA2750"/>
    <w:rsid w:val="00DB0B72"/>
    <w:rsid w:val="00DB406E"/>
    <w:rsid w:val="00DB70C6"/>
    <w:rsid w:val="00DC59AB"/>
    <w:rsid w:val="00DD03E8"/>
    <w:rsid w:val="00DD4D7F"/>
    <w:rsid w:val="00DD6D6A"/>
    <w:rsid w:val="00DE3222"/>
    <w:rsid w:val="00DE34A5"/>
    <w:rsid w:val="00DE7F30"/>
    <w:rsid w:val="00DF3AEC"/>
    <w:rsid w:val="00E037CF"/>
    <w:rsid w:val="00E03F06"/>
    <w:rsid w:val="00E04283"/>
    <w:rsid w:val="00E16BC3"/>
    <w:rsid w:val="00E205DD"/>
    <w:rsid w:val="00E33D83"/>
    <w:rsid w:val="00E37756"/>
    <w:rsid w:val="00E54257"/>
    <w:rsid w:val="00E71E36"/>
    <w:rsid w:val="00E74D2D"/>
    <w:rsid w:val="00E750A8"/>
    <w:rsid w:val="00E774C0"/>
    <w:rsid w:val="00E96DDC"/>
    <w:rsid w:val="00EA0A12"/>
    <w:rsid w:val="00EB0FCF"/>
    <w:rsid w:val="00EB3E05"/>
    <w:rsid w:val="00ED1AB6"/>
    <w:rsid w:val="00ED2329"/>
    <w:rsid w:val="00EE16B3"/>
    <w:rsid w:val="00EE6753"/>
    <w:rsid w:val="00EF54A9"/>
    <w:rsid w:val="00F0376E"/>
    <w:rsid w:val="00F05AAB"/>
    <w:rsid w:val="00F05D89"/>
    <w:rsid w:val="00F06D17"/>
    <w:rsid w:val="00F13BAA"/>
    <w:rsid w:val="00F22C65"/>
    <w:rsid w:val="00F24A00"/>
    <w:rsid w:val="00F26AD4"/>
    <w:rsid w:val="00F53848"/>
    <w:rsid w:val="00F54D47"/>
    <w:rsid w:val="00F57E69"/>
    <w:rsid w:val="00F65192"/>
    <w:rsid w:val="00F6602C"/>
    <w:rsid w:val="00F66A93"/>
    <w:rsid w:val="00F809FC"/>
    <w:rsid w:val="00F915A3"/>
    <w:rsid w:val="00FA6B2B"/>
    <w:rsid w:val="00FA6EF1"/>
    <w:rsid w:val="00FB4503"/>
    <w:rsid w:val="00FB5285"/>
    <w:rsid w:val="00FC320A"/>
    <w:rsid w:val="00FC408D"/>
    <w:rsid w:val="00FD4D08"/>
    <w:rsid w:val="00FD708D"/>
    <w:rsid w:val="00FE5038"/>
    <w:rsid w:val="00FF25D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B292A"/>
  <w15:chartTrackingRefBased/>
  <w15:docId w15:val="{9252474D-CF01-402A-97F6-6A478D66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8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10C9D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92C85"/>
    <w:rPr>
      <w:color w:val="0563C1"/>
      <w:u w:val="single"/>
    </w:rPr>
  </w:style>
  <w:style w:type="paragraph" w:customStyle="1" w:styleId="ArialRegular12pt">
    <w:name w:val="Основной стиль текста (Arial Regular 12pt)"/>
    <w:basedOn w:val="a"/>
    <w:link w:val="ArialRegular12pt0"/>
    <w:qFormat/>
    <w:rsid w:val="00592C85"/>
    <w:pPr>
      <w:spacing w:after="160" w:line="259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ArialRegular12pt0">
    <w:name w:val="Основной стиль текста (Arial Regular 12pt) Знак"/>
    <w:link w:val="ArialRegular12pt"/>
    <w:rsid w:val="00592C85"/>
    <w:rPr>
      <w:rFonts w:ascii="Arial" w:eastAsia="Calibri" w:hAnsi="Arial" w:cs="Times New Roman"/>
      <w:sz w:val="24"/>
      <w:szCs w:val="20"/>
      <w:lang w:eastAsia="ru-RU"/>
    </w:rPr>
  </w:style>
  <w:style w:type="character" w:styleId="a5">
    <w:name w:val="annotation reference"/>
    <w:uiPriority w:val="99"/>
    <w:semiHidden/>
    <w:unhideWhenUsed/>
    <w:rsid w:val="00164AB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64ABA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164ABA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4AB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164ABA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8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7ABC"/>
    <w:rPr>
      <w:rFonts w:ascii="Segoe UI" w:hAnsi="Segoe UI" w:cs="Segoe UI"/>
      <w:sz w:val="18"/>
      <w:szCs w:val="18"/>
      <w:lang w:eastAsia="en-US"/>
    </w:rPr>
  </w:style>
  <w:style w:type="paragraph" w:styleId="ac">
    <w:name w:val="Revision"/>
    <w:hidden/>
    <w:uiPriority w:val="99"/>
    <w:semiHidden/>
    <w:rsid w:val="005B7A65"/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94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7358B4"/>
    <w:rPr>
      <w:b/>
      <w:bCs/>
    </w:rPr>
  </w:style>
  <w:style w:type="character" w:styleId="af">
    <w:name w:val="Emphasis"/>
    <w:basedOn w:val="a0"/>
    <w:uiPriority w:val="20"/>
    <w:qFormat/>
    <w:rsid w:val="00EE16B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10C9D"/>
    <w:rPr>
      <w:rFonts w:ascii="Calibri Light" w:eastAsia="Times New Roman" w:hAnsi="Calibri Light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br.org/analytics/special-reports/model-dlya-makroekonomicheskogo-analiza-i-prognozirovaniya-ekonomiki-uzbekista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br.org/analytics/ceg-quarterly-reviews/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eabr.org/analytics/special-reports/model-dlya-makroekonomicheskogo-analiza-i-prognozirovaniya-ekonomiki-uzbekistan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abr.org/analytics/integration-research/cii-reports/sistema-analiza-i-makroekonomicheskogo-prognozirovaniya-evraziyskogo-ekonomicheskogo-soyu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64F2-6C16-44B1-92BE-E1E1CDA9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1512</Words>
  <Characters>13319</Characters>
  <Application>Microsoft Office Word</Application>
  <DocSecurity>0</DocSecurity>
  <Lines>110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Анна Александровна</dc:creator>
  <cp:lastModifiedBy>Шарафутдинов Артур Радикович</cp:lastModifiedBy>
  <cp:revision>10</cp:revision>
  <cp:lastPrinted>2024-11-20T08:47:00Z</cp:lastPrinted>
  <dcterms:created xsi:type="dcterms:W3CDTF">2025-06-17T10:45:00Z</dcterms:created>
  <dcterms:modified xsi:type="dcterms:W3CDTF">2025-06-20T07:50:00Z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36be54e0411633d05a43f7717c3fc4480912ce623bf52d4947edb7057edc8030</vt:lpwstr>
  </property>
</Properties>
</file>