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4809D" w14:textId="7E4C9B97" w:rsidR="004D67D8" w:rsidRPr="004D67D8" w:rsidRDefault="00EC2098" w:rsidP="004D67D8">
      <w:pPr>
        <w:spacing w:after="120" w:line="240" w:lineRule="auto"/>
        <w:jc w:val="both"/>
        <w:rPr>
          <w:rFonts w:ascii="Verdana" w:hAnsi="Verdana" w:cs="Arial"/>
          <w:b/>
          <w:bCs/>
          <w:sz w:val="20"/>
          <w:szCs w:val="20"/>
        </w:rPr>
      </w:pPr>
      <w:r w:rsidRPr="004D67D8">
        <w:rPr>
          <w:rFonts w:ascii="Verdana" w:hAnsi="Verdana" w:cs="Arial"/>
          <w:b/>
          <w:bCs/>
          <w:sz w:val="20"/>
          <w:szCs w:val="20"/>
        </w:rPr>
        <w:t>Макропрогноз ЕАБР 2024–2026: прогноз экономического роста</w:t>
      </w:r>
      <w:r w:rsidR="008B6DDC">
        <w:rPr>
          <w:rFonts w:ascii="Verdana" w:hAnsi="Verdana" w:cs="Arial"/>
          <w:b/>
          <w:bCs/>
          <w:sz w:val="20"/>
          <w:szCs w:val="20"/>
        </w:rPr>
        <w:t xml:space="preserve"> большинства стран-участниц </w:t>
      </w:r>
      <w:r w:rsidRPr="004D67D8">
        <w:rPr>
          <w:rFonts w:ascii="Verdana" w:hAnsi="Verdana" w:cs="Arial"/>
          <w:b/>
          <w:bCs/>
          <w:sz w:val="20"/>
          <w:szCs w:val="20"/>
        </w:rPr>
        <w:t>улучшен</w:t>
      </w:r>
      <w:r w:rsidR="008B6DDC">
        <w:rPr>
          <w:rFonts w:ascii="Verdana" w:hAnsi="Verdana" w:cs="Arial"/>
          <w:b/>
          <w:bCs/>
          <w:sz w:val="20"/>
          <w:szCs w:val="20"/>
        </w:rPr>
        <w:t xml:space="preserve">. </w:t>
      </w:r>
      <w:r w:rsidR="00C536EA">
        <w:rPr>
          <w:rFonts w:ascii="Verdana" w:hAnsi="Verdana" w:cs="Arial"/>
          <w:b/>
          <w:bCs/>
          <w:sz w:val="20"/>
          <w:szCs w:val="20"/>
        </w:rPr>
        <w:t>Темпы роста ВВП р</w:t>
      </w:r>
      <w:r w:rsidR="008B6DDC">
        <w:rPr>
          <w:rFonts w:ascii="Verdana" w:hAnsi="Verdana" w:cs="Arial"/>
          <w:b/>
          <w:bCs/>
          <w:sz w:val="20"/>
          <w:szCs w:val="20"/>
        </w:rPr>
        <w:t>егион</w:t>
      </w:r>
      <w:r w:rsidR="00C536EA">
        <w:rPr>
          <w:rFonts w:ascii="Verdana" w:hAnsi="Verdana" w:cs="Arial"/>
          <w:b/>
          <w:bCs/>
          <w:sz w:val="20"/>
          <w:szCs w:val="20"/>
        </w:rPr>
        <w:t>а</w:t>
      </w:r>
      <w:r w:rsidR="008B6DDC">
        <w:rPr>
          <w:rFonts w:ascii="Verdana" w:hAnsi="Verdana" w:cs="Arial"/>
          <w:b/>
          <w:bCs/>
          <w:sz w:val="20"/>
          <w:szCs w:val="20"/>
        </w:rPr>
        <w:t xml:space="preserve"> </w:t>
      </w:r>
      <w:r w:rsidR="0053343C">
        <w:rPr>
          <w:rFonts w:ascii="Verdana" w:hAnsi="Verdana" w:cs="Arial"/>
          <w:b/>
          <w:bCs/>
          <w:sz w:val="20"/>
          <w:szCs w:val="20"/>
        </w:rPr>
        <w:t xml:space="preserve">в 2024г. </w:t>
      </w:r>
      <w:r w:rsidR="00C536EA">
        <w:rPr>
          <w:rFonts w:ascii="Verdana" w:hAnsi="Verdana" w:cs="Arial"/>
          <w:b/>
          <w:bCs/>
          <w:sz w:val="20"/>
          <w:szCs w:val="20"/>
        </w:rPr>
        <w:t xml:space="preserve">сложатся </w:t>
      </w:r>
      <w:r w:rsidR="00EC4602">
        <w:rPr>
          <w:rFonts w:ascii="Verdana" w:hAnsi="Verdana" w:cs="Arial"/>
          <w:b/>
          <w:bCs/>
          <w:sz w:val="20"/>
          <w:szCs w:val="20"/>
        </w:rPr>
        <w:t>выше</w:t>
      </w:r>
      <w:r w:rsidR="00E45D7C">
        <w:rPr>
          <w:rFonts w:ascii="Verdana" w:hAnsi="Verdana" w:cs="Arial"/>
          <w:b/>
          <w:bCs/>
          <w:sz w:val="20"/>
          <w:szCs w:val="20"/>
        </w:rPr>
        <w:t xml:space="preserve"> мировых</w:t>
      </w:r>
      <w:r w:rsidR="0053343C">
        <w:rPr>
          <w:rFonts w:ascii="Verdana" w:hAnsi="Verdana" w:cs="Arial"/>
          <w:b/>
          <w:bCs/>
          <w:sz w:val="20"/>
          <w:szCs w:val="20"/>
        </w:rPr>
        <w:t>.</w:t>
      </w:r>
    </w:p>
    <w:p w14:paraId="6306DA21" w14:textId="77777777" w:rsidR="004D67D8" w:rsidRPr="004D67D8" w:rsidRDefault="00EC2098" w:rsidP="004D67D8">
      <w:pPr>
        <w:spacing w:after="120" w:line="240" w:lineRule="auto"/>
        <w:jc w:val="both"/>
        <w:rPr>
          <w:rFonts w:ascii="Verdana" w:hAnsi="Verdana" w:cs="Arial"/>
          <w:i/>
          <w:sz w:val="20"/>
          <w:szCs w:val="20"/>
        </w:rPr>
      </w:pPr>
      <w:r w:rsidRPr="004D67D8">
        <w:rPr>
          <w:rFonts w:ascii="Verdana" w:hAnsi="Verdana" w:cs="Arial"/>
          <w:i/>
          <w:sz w:val="20"/>
          <w:szCs w:val="20"/>
        </w:rPr>
        <w:t xml:space="preserve">Евразийский банк развития опубликовал </w:t>
      </w:r>
      <w:r w:rsidR="00A67FD4">
        <w:rPr>
          <w:rFonts w:ascii="Verdana" w:hAnsi="Verdana" w:cs="Arial"/>
          <w:i/>
          <w:sz w:val="20"/>
          <w:szCs w:val="20"/>
        </w:rPr>
        <w:t>Макроэкономический прогноз для шести</w:t>
      </w:r>
      <w:r w:rsidRPr="004D67D8">
        <w:rPr>
          <w:rFonts w:ascii="Verdana" w:hAnsi="Verdana" w:cs="Arial"/>
          <w:i/>
          <w:sz w:val="20"/>
          <w:szCs w:val="20"/>
        </w:rPr>
        <w:t xml:space="preserve"> государств —</w:t>
      </w:r>
      <w:r w:rsidRPr="004D67D8">
        <w:rPr>
          <w:rFonts w:ascii="Verdana" w:hAnsi="Verdana" w:cs="Arial"/>
          <w:sz w:val="20"/>
          <w:szCs w:val="20"/>
        </w:rPr>
        <w:t xml:space="preserve"> </w:t>
      </w:r>
      <w:r w:rsidRPr="004D67D8">
        <w:rPr>
          <w:rFonts w:ascii="Verdana" w:hAnsi="Verdana" w:cs="Arial"/>
          <w:i/>
          <w:sz w:val="20"/>
          <w:szCs w:val="20"/>
        </w:rPr>
        <w:t xml:space="preserve">участников. </w:t>
      </w:r>
      <w:r w:rsidR="00F03EA2">
        <w:rPr>
          <w:rFonts w:ascii="Verdana" w:hAnsi="Verdana" w:cs="Arial"/>
          <w:i/>
          <w:sz w:val="20"/>
          <w:szCs w:val="20"/>
        </w:rPr>
        <w:t xml:space="preserve">В 2024 </w:t>
      </w:r>
      <w:r w:rsidR="00A67FD4">
        <w:rPr>
          <w:rFonts w:ascii="Verdana" w:hAnsi="Verdana" w:cs="Arial"/>
          <w:i/>
          <w:sz w:val="20"/>
          <w:szCs w:val="20"/>
        </w:rPr>
        <w:t>г.</w:t>
      </w:r>
      <w:r w:rsidR="00F03EA2">
        <w:rPr>
          <w:rFonts w:ascii="Verdana" w:hAnsi="Verdana" w:cs="Arial"/>
          <w:i/>
          <w:sz w:val="20"/>
          <w:szCs w:val="20"/>
        </w:rPr>
        <w:t xml:space="preserve"> ожидается следующий прирост ВВП</w:t>
      </w:r>
      <w:r w:rsidRPr="00D94005">
        <w:rPr>
          <w:rFonts w:ascii="Verdana" w:hAnsi="Verdana" w:cs="Arial"/>
          <w:i/>
          <w:sz w:val="20"/>
          <w:szCs w:val="20"/>
        </w:rPr>
        <w:t xml:space="preserve">: в Армении — </w:t>
      </w:r>
      <w:r w:rsidR="00D94005" w:rsidRPr="00D94005">
        <w:rPr>
          <w:rFonts w:ascii="Verdana" w:hAnsi="Verdana" w:cs="Arial"/>
          <w:i/>
          <w:sz w:val="20"/>
          <w:szCs w:val="20"/>
        </w:rPr>
        <w:t>7,5</w:t>
      </w:r>
      <w:r w:rsidRPr="00D94005">
        <w:rPr>
          <w:rFonts w:ascii="Verdana" w:hAnsi="Verdana" w:cs="Arial"/>
          <w:i/>
          <w:sz w:val="20"/>
          <w:szCs w:val="20"/>
        </w:rPr>
        <w:t xml:space="preserve">%, </w:t>
      </w:r>
      <w:r w:rsidR="00A67FD4">
        <w:rPr>
          <w:rFonts w:ascii="Verdana" w:hAnsi="Verdana" w:cs="Arial"/>
          <w:i/>
          <w:sz w:val="20"/>
          <w:szCs w:val="20"/>
        </w:rPr>
        <w:t xml:space="preserve">в </w:t>
      </w:r>
      <w:r w:rsidRPr="00D94005">
        <w:rPr>
          <w:rFonts w:ascii="Verdana" w:hAnsi="Verdana" w:cs="Arial"/>
          <w:i/>
          <w:sz w:val="20"/>
          <w:szCs w:val="20"/>
        </w:rPr>
        <w:t xml:space="preserve">Беларуси — </w:t>
      </w:r>
      <w:r w:rsidR="0019476E" w:rsidRPr="0019476E">
        <w:rPr>
          <w:rFonts w:ascii="Verdana" w:hAnsi="Verdana" w:cs="Arial"/>
          <w:i/>
          <w:sz w:val="20"/>
          <w:szCs w:val="20"/>
        </w:rPr>
        <w:t>3</w:t>
      </w:r>
      <w:r w:rsidR="00D94005" w:rsidRPr="00D94005">
        <w:rPr>
          <w:rFonts w:ascii="Verdana" w:hAnsi="Verdana" w:cs="Arial"/>
          <w:i/>
          <w:sz w:val="20"/>
          <w:szCs w:val="20"/>
        </w:rPr>
        <w:t>,4</w:t>
      </w:r>
      <w:r w:rsidRPr="00D94005">
        <w:rPr>
          <w:rFonts w:ascii="Verdana" w:hAnsi="Verdana" w:cs="Arial"/>
          <w:i/>
          <w:sz w:val="20"/>
          <w:szCs w:val="20"/>
        </w:rPr>
        <w:t xml:space="preserve">%, </w:t>
      </w:r>
      <w:r w:rsidR="00A67FD4">
        <w:rPr>
          <w:rFonts w:ascii="Verdana" w:hAnsi="Verdana" w:cs="Arial"/>
          <w:i/>
          <w:sz w:val="20"/>
          <w:szCs w:val="20"/>
        </w:rPr>
        <w:t xml:space="preserve">в </w:t>
      </w:r>
      <w:r w:rsidRPr="00D94005">
        <w:rPr>
          <w:rFonts w:ascii="Verdana" w:hAnsi="Verdana" w:cs="Arial"/>
          <w:i/>
          <w:sz w:val="20"/>
          <w:szCs w:val="20"/>
        </w:rPr>
        <w:t xml:space="preserve">Казахстане — 5%, </w:t>
      </w:r>
      <w:r w:rsidR="00A67FD4">
        <w:rPr>
          <w:rFonts w:ascii="Verdana" w:hAnsi="Verdana" w:cs="Arial"/>
          <w:i/>
          <w:sz w:val="20"/>
          <w:szCs w:val="20"/>
        </w:rPr>
        <w:t xml:space="preserve">в </w:t>
      </w:r>
      <w:r w:rsidRPr="00D94005">
        <w:rPr>
          <w:rFonts w:ascii="Verdana" w:hAnsi="Verdana" w:cs="Arial"/>
          <w:i/>
          <w:sz w:val="20"/>
          <w:szCs w:val="20"/>
        </w:rPr>
        <w:t xml:space="preserve">Кыргызстане — </w:t>
      </w:r>
      <w:r w:rsidR="00D94005" w:rsidRPr="00D94005">
        <w:rPr>
          <w:rFonts w:ascii="Verdana" w:hAnsi="Verdana" w:cs="Arial"/>
          <w:i/>
          <w:sz w:val="20"/>
          <w:szCs w:val="20"/>
        </w:rPr>
        <w:t>5</w:t>
      </w:r>
      <w:r w:rsidRPr="00D94005">
        <w:rPr>
          <w:rFonts w:ascii="Verdana" w:hAnsi="Verdana" w:cs="Arial"/>
          <w:i/>
          <w:sz w:val="20"/>
          <w:szCs w:val="20"/>
        </w:rPr>
        <w:t xml:space="preserve">,5%, </w:t>
      </w:r>
      <w:r w:rsidR="00A67FD4">
        <w:rPr>
          <w:rFonts w:ascii="Verdana" w:hAnsi="Verdana" w:cs="Arial"/>
          <w:i/>
          <w:sz w:val="20"/>
          <w:szCs w:val="20"/>
        </w:rPr>
        <w:t xml:space="preserve">в </w:t>
      </w:r>
      <w:r w:rsidRPr="00D94005">
        <w:rPr>
          <w:rFonts w:ascii="Verdana" w:hAnsi="Verdana" w:cs="Arial"/>
          <w:i/>
          <w:sz w:val="20"/>
          <w:szCs w:val="20"/>
        </w:rPr>
        <w:t xml:space="preserve">России — </w:t>
      </w:r>
      <w:r w:rsidR="0019476E" w:rsidRPr="0019476E">
        <w:rPr>
          <w:rFonts w:ascii="Verdana" w:hAnsi="Verdana" w:cs="Arial"/>
          <w:i/>
          <w:sz w:val="20"/>
          <w:szCs w:val="20"/>
        </w:rPr>
        <w:t>3</w:t>
      </w:r>
      <w:r w:rsidR="00D94005" w:rsidRPr="00D94005">
        <w:rPr>
          <w:rFonts w:ascii="Verdana" w:hAnsi="Verdana" w:cs="Arial"/>
          <w:i/>
          <w:sz w:val="20"/>
          <w:szCs w:val="20"/>
        </w:rPr>
        <w:t>,</w:t>
      </w:r>
      <w:r w:rsidR="0019476E" w:rsidRPr="0019476E">
        <w:rPr>
          <w:rFonts w:ascii="Verdana" w:hAnsi="Verdana" w:cs="Arial"/>
          <w:i/>
          <w:sz w:val="20"/>
          <w:szCs w:val="20"/>
        </w:rPr>
        <w:t>0</w:t>
      </w:r>
      <w:r w:rsidRPr="00D94005">
        <w:rPr>
          <w:rFonts w:ascii="Verdana" w:hAnsi="Verdana" w:cs="Arial"/>
          <w:i/>
          <w:sz w:val="20"/>
          <w:szCs w:val="20"/>
        </w:rPr>
        <w:t xml:space="preserve">% и </w:t>
      </w:r>
      <w:r w:rsidR="00A67FD4">
        <w:rPr>
          <w:rFonts w:ascii="Verdana" w:hAnsi="Verdana" w:cs="Arial"/>
          <w:i/>
          <w:sz w:val="20"/>
          <w:szCs w:val="20"/>
        </w:rPr>
        <w:t xml:space="preserve">в </w:t>
      </w:r>
      <w:r w:rsidRPr="00D94005">
        <w:rPr>
          <w:rFonts w:ascii="Verdana" w:hAnsi="Verdana" w:cs="Arial"/>
          <w:i/>
          <w:sz w:val="20"/>
          <w:szCs w:val="20"/>
        </w:rPr>
        <w:t>Таджикистане —</w:t>
      </w:r>
      <w:r w:rsidR="00D94005" w:rsidRPr="00D94005">
        <w:rPr>
          <w:rFonts w:ascii="Verdana" w:hAnsi="Verdana" w:cs="Arial"/>
          <w:i/>
          <w:sz w:val="20"/>
          <w:szCs w:val="20"/>
        </w:rPr>
        <w:t>8,0</w:t>
      </w:r>
      <w:r w:rsidRPr="00D94005">
        <w:rPr>
          <w:rFonts w:ascii="Verdana" w:hAnsi="Verdana" w:cs="Arial"/>
          <w:i/>
          <w:sz w:val="20"/>
          <w:szCs w:val="20"/>
        </w:rPr>
        <w:t>%.</w:t>
      </w:r>
    </w:p>
    <w:p w14:paraId="18EB0EB0" w14:textId="02E51055" w:rsidR="004D67D8" w:rsidRPr="004D67D8" w:rsidRDefault="00EC2098" w:rsidP="004D67D8">
      <w:pPr>
        <w:spacing w:before="120" w:after="120" w:line="240" w:lineRule="auto"/>
        <w:jc w:val="both"/>
        <w:rPr>
          <w:rFonts w:ascii="Verdana" w:hAnsi="Verdana" w:cs="Arial"/>
          <w:sz w:val="20"/>
          <w:szCs w:val="20"/>
        </w:rPr>
      </w:pPr>
      <w:r w:rsidRPr="004D67D8">
        <w:rPr>
          <w:rFonts w:ascii="Verdana" w:hAnsi="Verdana" w:cs="Arial"/>
          <w:b/>
          <w:sz w:val="20"/>
          <w:szCs w:val="20"/>
        </w:rPr>
        <w:t xml:space="preserve">Алматы, </w:t>
      </w:r>
      <w:r w:rsidR="00604B68" w:rsidRPr="00F413CD">
        <w:rPr>
          <w:rFonts w:ascii="Verdana" w:hAnsi="Verdana" w:cs="Arial"/>
          <w:b/>
          <w:i/>
          <w:color w:val="FF0000"/>
          <w:sz w:val="20"/>
          <w:szCs w:val="20"/>
        </w:rPr>
        <w:t>ХХ</w:t>
      </w:r>
      <w:r w:rsidRPr="00F413CD">
        <w:rPr>
          <w:rFonts w:ascii="Verdana" w:hAnsi="Verdana" w:cs="Arial"/>
          <w:b/>
          <w:i/>
          <w:color w:val="FF0000"/>
          <w:sz w:val="20"/>
          <w:szCs w:val="20"/>
        </w:rPr>
        <w:t xml:space="preserve"> </w:t>
      </w:r>
      <w:r w:rsidR="006F43C1">
        <w:rPr>
          <w:rFonts w:ascii="Verdana" w:hAnsi="Verdana" w:cs="Arial"/>
          <w:b/>
          <w:i/>
          <w:color w:val="FF0000"/>
          <w:sz w:val="20"/>
          <w:szCs w:val="20"/>
        </w:rPr>
        <w:t>июня</w:t>
      </w:r>
      <w:r w:rsidRPr="00F413CD">
        <w:rPr>
          <w:rFonts w:ascii="Verdana" w:hAnsi="Verdana" w:cs="Arial"/>
          <w:b/>
          <w:color w:val="FF0000"/>
          <w:sz w:val="20"/>
          <w:szCs w:val="20"/>
        </w:rPr>
        <w:t xml:space="preserve"> </w:t>
      </w:r>
      <w:r w:rsidRPr="004D67D8">
        <w:rPr>
          <w:rFonts w:ascii="Verdana" w:hAnsi="Verdana" w:cs="Arial"/>
          <w:b/>
          <w:sz w:val="20"/>
          <w:szCs w:val="20"/>
        </w:rPr>
        <w:t>202</w:t>
      </w:r>
      <w:r w:rsidR="00604B68">
        <w:rPr>
          <w:rFonts w:ascii="Verdana" w:hAnsi="Verdana" w:cs="Arial"/>
          <w:b/>
          <w:sz w:val="20"/>
          <w:szCs w:val="20"/>
        </w:rPr>
        <w:t>4</w:t>
      </w:r>
      <w:r w:rsidRPr="004D67D8">
        <w:rPr>
          <w:rFonts w:ascii="Verdana" w:hAnsi="Verdana" w:cs="Arial"/>
          <w:b/>
          <w:sz w:val="20"/>
          <w:szCs w:val="20"/>
        </w:rPr>
        <w:t xml:space="preserve"> </w:t>
      </w:r>
      <w:r w:rsidR="00A67FD4">
        <w:rPr>
          <w:rFonts w:ascii="Verdana" w:hAnsi="Verdana" w:cs="Arial"/>
          <w:b/>
          <w:sz w:val="20"/>
          <w:szCs w:val="20"/>
        </w:rPr>
        <w:t>г</w:t>
      </w:r>
      <w:r w:rsidRPr="004D67D8">
        <w:rPr>
          <w:rFonts w:ascii="Verdana" w:hAnsi="Verdana" w:cs="Arial"/>
          <w:b/>
          <w:sz w:val="20"/>
          <w:szCs w:val="20"/>
        </w:rPr>
        <w:t>.</w:t>
      </w:r>
      <w:r w:rsidRPr="004D67D8">
        <w:rPr>
          <w:rFonts w:ascii="Verdana" w:hAnsi="Verdana" w:cs="Arial"/>
          <w:sz w:val="20"/>
          <w:szCs w:val="20"/>
        </w:rPr>
        <w:t xml:space="preserve"> Евразийский банк развития (ЕАБР) </w:t>
      </w:r>
      <w:r w:rsidR="00F03EA2">
        <w:rPr>
          <w:rFonts w:ascii="Verdana" w:hAnsi="Verdana" w:cs="Arial"/>
          <w:sz w:val="20"/>
          <w:szCs w:val="20"/>
        </w:rPr>
        <w:t xml:space="preserve">представил </w:t>
      </w:r>
      <w:r w:rsidR="00727731">
        <w:rPr>
          <w:rFonts w:ascii="Verdana" w:hAnsi="Verdana" w:cs="Arial"/>
          <w:sz w:val="20"/>
          <w:szCs w:val="20"/>
        </w:rPr>
        <w:t xml:space="preserve">анализ </w:t>
      </w:r>
      <w:r w:rsidR="00F03EA2">
        <w:rPr>
          <w:rFonts w:ascii="Verdana" w:hAnsi="Verdana" w:cs="Arial"/>
          <w:sz w:val="20"/>
          <w:szCs w:val="20"/>
        </w:rPr>
        <w:t xml:space="preserve">экономического развития стран-участниц </w:t>
      </w:r>
      <w:r w:rsidR="0053343C">
        <w:rPr>
          <w:rFonts w:ascii="Verdana" w:hAnsi="Verdana" w:cs="Arial"/>
          <w:sz w:val="20"/>
          <w:szCs w:val="20"/>
        </w:rPr>
        <w:t>в</w:t>
      </w:r>
      <w:r w:rsidR="00140A88">
        <w:rPr>
          <w:rFonts w:ascii="Verdana" w:hAnsi="Verdana" w:cs="Arial"/>
          <w:sz w:val="20"/>
          <w:szCs w:val="20"/>
        </w:rPr>
        <w:t xml:space="preserve"> 2024 </w:t>
      </w:r>
      <w:r w:rsidR="00A67FD4">
        <w:rPr>
          <w:rFonts w:ascii="Verdana" w:hAnsi="Verdana" w:cs="Arial"/>
          <w:sz w:val="20"/>
          <w:szCs w:val="20"/>
        </w:rPr>
        <w:t>г.</w:t>
      </w:r>
      <w:r w:rsidR="00140A88">
        <w:rPr>
          <w:rFonts w:ascii="Verdana" w:hAnsi="Verdana" w:cs="Arial"/>
          <w:sz w:val="20"/>
          <w:szCs w:val="20"/>
        </w:rPr>
        <w:t xml:space="preserve"> </w:t>
      </w:r>
      <w:r w:rsidR="00727731">
        <w:rPr>
          <w:rFonts w:ascii="Verdana" w:hAnsi="Verdana" w:cs="Arial"/>
          <w:sz w:val="20"/>
          <w:szCs w:val="20"/>
        </w:rPr>
        <w:t>и прогноз</w:t>
      </w:r>
      <w:r w:rsidR="00140A88">
        <w:rPr>
          <w:rFonts w:ascii="Verdana" w:hAnsi="Verdana" w:cs="Arial"/>
          <w:sz w:val="20"/>
          <w:szCs w:val="20"/>
        </w:rPr>
        <w:t xml:space="preserve"> </w:t>
      </w:r>
      <w:r w:rsidRPr="004D67D8">
        <w:rPr>
          <w:rFonts w:ascii="Verdana" w:hAnsi="Verdana" w:cs="Arial"/>
          <w:sz w:val="20"/>
          <w:szCs w:val="20"/>
        </w:rPr>
        <w:t xml:space="preserve">основных макроэкономических показателей </w:t>
      </w:r>
      <w:r w:rsidR="00140A88">
        <w:rPr>
          <w:rFonts w:ascii="Verdana" w:hAnsi="Verdana" w:cs="Arial"/>
          <w:sz w:val="20"/>
          <w:szCs w:val="20"/>
        </w:rPr>
        <w:t>до конца</w:t>
      </w:r>
      <w:r w:rsidR="00140A88" w:rsidRPr="004D67D8">
        <w:rPr>
          <w:rFonts w:ascii="Verdana" w:hAnsi="Verdana" w:cs="Arial"/>
          <w:sz w:val="20"/>
          <w:szCs w:val="20"/>
        </w:rPr>
        <w:t xml:space="preserve"> </w:t>
      </w:r>
      <w:r w:rsidRPr="004D67D8">
        <w:rPr>
          <w:rFonts w:ascii="Verdana" w:hAnsi="Verdana" w:cs="Arial"/>
          <w:sz w:val="20"/>
          <w:szCs w:val="20"/>
        </w:rPr>
        <w:t xml:space="preserve">2024 </w:t>
      </w:r>
      <w:r w:rsidR="00A67FD4">
        <w:rPr>
          <w:rFonts w:ascii="Verdana" w:hAnsi="Verdana" w:cs="Arial"/>
          <w:sz w:val="20"/>
          <w:szCs w:val="20"/>
        </w:rPr>
        <w:t>г.</w:t>
      </w:r>
      <w:r w:rsidR="00F03EA2">
        <w:rPr>
          <w:rFonts w:ascii="Verdana" w:hAnsi="Verdana" w:cs="Arial"/>
          <w:sz w:val="20"/>
          <w:szCs w:val="20"/>
        </w:rPr>
        <w:t xml:space="preserve"> и на </w:t>
      </w:r>
      <w:r w:rsidR="0053343C">
        <w:rPr>
          <w:rFonts w:ascii="Verdana" w:hAnsi="Verdana" w:cs="Arial"/>
          <w:sz w:val="20"/>
          <w:szCs w:val="20"/>
        </w:rPr>
        <w:t>2025–</w:t>
      </w:r>
      <w:r w:rsidRPr="004D67D8">
        <w:rPr>
          <w:rFonts w:ascii="Verdana" w:hAnsi="Verdana" w:cs="Arial"/>
          <w:sz w:val="20"/>
          <w:szCs w:val="20"/>
        </w:rPr>
        <w:t>26 г</w:t>
      </w:r>
      <w:r w:rsidR="005B3975">
        <w:rPr>
          <w:rFonts w:ascii="Verdana" w:hAnsi="Verdana" w:cs="Arial"/>
          <w:sz w:val="20"/>
          <w:szCs w:val="20"/>
        </w:rPr>
        <w:t>г</w:t>
      </w:r>
      <w:r w:rsidRPr="004D67D8">
        <w:rPr>
          <w:rFonts w:ascii="Verdana" w:hAnsi="Verdana" w:cs="Arial"/>
          <w:sz w:val="20"/>
          <w:szCs w:val="20"/>
        </w:rPr>
        <w:t>.</w:t>
      </w:r>
    </w:p>
    <w:p w14:paraId="0C9F4298" w14:textId="233CA71B" w:rsidR="00727731" w:rsidRDefault="00EC2098" w:rsidP="004D67D8">
      <w:pPr>
        <w:pStyle w:val="ArialRegular12pt"/>
        <w:spacing w:after="120" w:line="240" w:lineRule="auto"/>
        <w:rPr>
          <w:rFonts w:ascii="Verdana" w:hAnsi="Verdana"/>
          <w:sz w:val="20"/>
          <w:lang w:eastAsia="en-US"/>
        </w:rPr>
      </w:pPr>
      <w:r>
        <w:rPr>
          <w:rFonts w:ascii="Verdana" w:hAnsi="Verdana"/>
          <w:sz w:val="20"/>
          <w:lang w:eastAsia="en-US"/>
        </w:rPr>
        <w:t xml:space="preserve">По </w:t>
      </w:r>
      <w:r w:rsidR="00140A88">
        <w:rPr>
          <w:rFonts w:ascii="Verdana" w:hAnsi="Verdana"/>
          <w:sz w:val="20"/>
          <w:lang w:eastAsia="en-US"/>
        </w:rPr>
        <w:t>оценкам</w:t>
      </w:r>
      <w:r>
        <w:rPr>
          <w:rFonts w:ascii="Verdana" w:hAnsi="Verdana"/>
          <w:sz w:val="20"/>
          <w:lang w:eastAsia="en-US"/>
        </w:rPr>
        <w:t xml:space="preserve"> </w:t>
      </w:r>
      <w:r w:rsidR="00A67FD4">
        <w:rPr>
          <w:rFonts w:ascii="Verdana" w:hAnsi="Verdana"/>
          <w:sz w:val="20"/>
          <w:lang w:eastAsia="en-US"/>
        </w:rPr>
        <w:t>а</w:t>
      </w:r>
      <w:r w:rsidR="00E71E36" w:rsidRPr="004D67D8">
        <w:rPr>
          <w:rFonts w:ascii="Verdana" w:hAnsi="Verdana"/>
          <w:sz w:val="20"/>
          <w:lang w:eastAsia="en-US"/>
        </w:rPr>
        <w:t>налити</w:t>
      </w:r>
      <w:r>
        <w:rPr>
          <w:rFonts w:ascii="Verdana" w:hAnsi="Verdana"/>
          <w:sz w:val="20"/>
          <w:lang w:eastAsia="en-US"/>
        </w:rPr>
        <w:t>ков</w:t>
      </w:r>
      <w:r w:rsidR="00E71E36" w:rsidRPr="004D67D8">
        <w:rPr>
          <w:rFonts w:ascii="Verdana" w:hAnsi="Verdana"/>
          <w:sz w:val="20"/>
          <w:lang w:eastAsia="en-US"/>
        </w:rPr>
        <w:t xml:space="preserve"> ЕАБР</w:t>
      </w:r>
      <w:r>
        <w:rPr>
          <w:rFonts w:ascii="Verdana" w:hAnsi="Verdana"/>
          <w:sz w:val="20"/>
          <w:lang w:eastAsia="en-US"/>
        </w:rPr>
        <w:t>,</w:t>
      </w:r>
      <w:r w:rsidR="00E71E36" w:rsidRPr="004D67D8">
        <w:rPr>
          <w:rFonts w:ascii="Verdana" w:hAnsi="Verdana"/>
          <w:sz w:val="20"/>
          <w:lang w:eastAsia="en-US"/>
        </w:rPr>
        <w:t xml:space="preserve"> </w:t>
      </w:r>
      <w:r>
        <w:rPr>
          <w:rFonts w:ascii="Verdana" w:hAnsi="Verdana"/>
          <w:sz w:val="20"/>
          <w:lang w:eastAsia="en-US"/>
        </w:rPr>
        <w:t>м</w:t>
      </w:r>
      <w:r w:rsidR="00D94005">
        <w:rPr>
          <w:rFonts w:ascii="Verdana" w:hAnsi="Verdana"/>
          <w:sz w:val="20"/>
          <w:lang w:eastAsia="en-US"/>
        </w:rPr>
        <w:t xml:space="preserve">ировая экономика </w:t>
      </w:r>
      <w:r w:rsidR="006F43C1">
        <w:rPr>
          <w:rFonts w:ascii="Verdana" w:hAnsi="Verdana"/>
          <w:sz w:val="20"/>
          <w:lang w:eastAsia="en-US"/>
        </w:rPr>
        <w:t>продолж</w:t>
      </w:r>
      <w:r w:rsidR="00750888">
        <w:rPr>
          <w:rFonts w:ascii="Verdana" w:hAnsi="Verdana"/>
          <w:sz w:val="20"/>
          <w:lang w:eastAsia="en-US"/>
        </w:rPr>
        <w:t xml:space="preserve">ит расти </w:t>
      </w:r>
      <w:r w:rsidR="00140A88">
        <w:rPr>
          <w:rFonts w:ascii="Verdana" w:hAnsi="Verdana"/>
          <w:sz w:val="20"/>
          <w:lang w:eastAsia="en-US"/>
        </w:rPr>
        <w:t xml:space="preserve">темпами </w:t>
      </w:r>
      <w:r w:rsidR="0019476E">
        <w:rPr>
          <w:rFonts w:ascii="Verdana" w:hAnsi="Verdana"/>
          <w:sz w:val="20"/>
          <w:lang w:eastAsia="en-US"/>
        </w:rPr>
        <w:t>около</w:t>
      </w:r>
      <w:r w:rsidR="00750888">
        <w:rPr>
          <w:rFonts w:ascii="Verdana" w:hAnsi="Verdana"/>
          <w:sz w:val="20"/>
          <w:lang w:eastAsia="en-US"/>
        </w:rPr>
        <w:t xml:space="preserve"> 3% в 2024 г.</w:t>
      </w:r>
      <w:r w:rsidR="006F43C1">
        <w:rPr>
          <w:rFonts w:ascii="Verdana" w:hAnsi="Verdana"/>
          <w:sz w:val="20"/>
          <w:lang w:eastAsia="en-US"/>
        </w:rPr>
        <w:t xml:space="preserve"> </w:t>
      </w:r>
      <w:r w:rsidR="00750888">
        <w:rPr>
          <w:rFonts w:ascii="Verdana" w:hAnsi="Verdana"/>
          <w:sz w:val="20"/>
          <w:lang w:eastAsia="en-US"/>
        </w:rPr>
        <w:t>во многом благодаря д</w:t>
      </w:r>
      <w:r w:rsidR="0053343C">
        <w:rPr>
          <w:rFonts w:ascii="Verdana" w:hAnsi="Verdana"/>
          <w:sz w:val="20"/>
          <w:lang w:eastAsia="en-US"/>
        </w:rPr>
        <w:t>инамике развивающихся экономик. Инфляция</w:t>
      </w:r>
      <w:r w:rsidR="008E1FE6">
        <w:rPr>
          <w:rFonts w:ascii="Verdana" w:hAnsi="Verdana"/>
          <w:sz w:val="20"/>
          <w:lang w:eastAsia="en-US"/>
        </w:rPr>
        <w:t xml:space="preserve"> в развитых странах </w:t>
      </w:r>
      <w:r w:rsidR="0053343C">
        <w:rPr>
          <w:rFonts w:ascii="Verdana" w:hAnsi="Verdana"/>
          <w:sz w:val="20"/>
          <w:lang w:eastAsia="en-US"/>
        </w:rPr>
        <w:t xml:space="preserve">снижается, но темп снижения замедлился. Это связано с нехваткой рабочей силы, а также </w:t>
      </w:r>
      <w:r w:rsidR="00A67FD4">
        <w:rPr>
          <w:rFonts w:ascii="Verdana" w:hAnsi="Verdana"/>
          <w:sz w:val="20"/>
          <w:lang w:eastAsia="en-US"/>
        </w:rPr>
        <w:t>с</w:t>
      </w:r>
      <w:r w:rsidR="008E1FE6">
        <w:rPr>
          <w:rFonts w:ascii="Verdana" w:hAnsi="Verdana"/>
          <w:sz w:val="20"/>
          <w:lang w:eastAsia="en-US"/>
        </w:rPr>
        <w:t xml:space="preserve"> ростом издержек, вызванных фрагментацией мировой экономики. </w:t>
      </w:r>
      <w:r w:rsidR="00EE5E48">
        <w:rPr>
          <w:rFonts w:ascii="Verdana" w:hAnsi="Verdana"/>
          <w:sz w:val="20"/>
          <w:lang w:eastAsia="en-US"/>
        </w:rPr>
        <w:t>Следствием станет</w:t>
      </w:r>
      <w:r w:rsidR="0053343C">
        <w:rPr>
          <w:rFonts w:ascii="Verdana" w:hAnsi="Verdana"/>
          <w:sz w:val="20"/>
          <w:lang w:eastAsia="en-US"/>
        </w:rPr>
        <w:t xml:space="preserve"> более долгий, чем ранее ожидалось, период</w:t>
      </w:r>
      <w:r w:rsidR="00EE5E48">
        <w:rPr>
          <w:rFonts w:ascii="Verdana" w:hAnsi="Verdana"/>
          <w:sz w:val="20"/>
          <w:lang w:eastAsia="en-US"/>
        </w:rPr>
        <w:t xml:space="preserve"> высоких процентных ставок </w:t>
      </w:r>
      <w:r w:rsidR="00EE5E48" w:rsidRPr="00820270">
        <w:rPr>
          <w:rFonts w:ascii="Verdana" w:hAnsi="Verdana"/>
          <w:sz w:val="20"/>
          <w:lang w:eastAsia="en-US"/>
        </w:rPr>
        <w:t>в</w:t>
      </w:r>
      <w:r w:rsidR="00B948C7" w:rsidRPr="00820270">
        <w:rPr>
          <w:rFonts w:ascii="Verdana" w:hAnsi="Verdana"/>
          <w:sz w:val="20"/>
          <w:lang w:eastAsia="en-US"/>
        </w:rPr>
        <w:t xml:space="preserve"> США и</w:t>
      </w:r>
      <w:r w:rsidR="00BE54D0" w:rsidRPr="00C536EA">
        <w:rPr>
          <w:rFonts w:ascii="Verdana" w:hAnsi="Verdana"/>
          <w:sz w:val="20"/>
          <w:lang w:eastAsia="en-US"/>
        </w:rPr>
        <w:t xml:space="preserve"> </w:t>
      </w:r>
      <w:r w:rsidR="00EE5E48" w:rsidRPr="00820270">
        <w:rPr>
          <w:rFonts w:ascii="Verdana" w:hAnsi="Verdana"/>
          <w:sz w:val="20"/>
          <w:lang w:eastAsia="en-US"/>
        </w:rPr>
        <w:t>еврозоне</w:t>
      </w:r>
      <w:r w:rsidR="00E23DB9">
        <w:rPr>
          <w:rFonts w:ascii="Verdana" w:hAnsi="Verdana"/>
          <w:sz w:val="20"/>
          <w:lang w:eastAsia="en-US"/>
        </w:rPr>
        <w:t xml:space="preserve">, </w:t>
      </w:r>
      <w:r w:rsidR="00EE5E48">
        <w:rPr>
          <w:rFonts w:ascii="Verdana" w:hAnsi="Verdana"/>
          <w:sz w:val="20"/>
          <w:lang w:eastAsia="en-US"/>
        </w:rPr>
        <w:t xml:space="preserve">что </w:t>
      </w:r>
      <w:r w:rsidR="00750888">
        <w:rPr>
          <w:rFonts w:ascii="Verdana" w:hAnsi="Verdana"/>
          <w:sz w:val="20"/>
          <w:lang w:eastAsia="en-US"/>
        </w:rPr>
        <w:t xml:space="preserve">негативно </w:t>
      </w:r>
      <w:r w:rsidR="00E23DB9">
        <w:rPr>
          <w:rFonts w:ascii="Verdana" w:hAnsi="Verdana"/>
          <w:sz w:val="20"/>
          <w:lang w:eastAsia="en-US"/>
        </w:rPr>
        <w:t xml:space="preserve">скажется </w:t>
      </w:r>
      <w:r w:rsidR="005B3975">
        <w:rPr>
          <w:rFonts w:ascii="Verdana" w:hAnsi="Verdana"/>
          <w:sz w:val="20"/>
          <w:lang w:eastAsia="en-US"/>
        </w:rPr>
        <w:t>на росте</w:t>
      </w:r>
      <w:r w:rsidR="00750888">
        <w:rPr>
          <w:rFonts w:ascii="Verdana" w:hAnsi="Verdana"/>
          <w:sz w:val="20"/>
          <w:lang w:eastAsia="en-US"/>
        </w:rPr>
        <w:t xml:space="preserve"> </w:t>
      </w:r>
      <w:r w:rsidR="000B32D4">
        <w:rPr>
          <w:rFonts w:ascii="Verdana" w:hAnsi="Verdana"/>
          <w:sz w:val="20"/>
          <w:lang w:eastAsia="en-US"/>
        </w:rPr>
        <w:t xml:space="preserve">этих </w:t>
      </w:r>
      <w:r w:rsidR="00750888">
        <w:rPr>
          <w:rFonts w:ascii="Verdana" w:hAnsi="Verdana"/>
          <w:sz w:val="20"/>
          <w:lang w:eastAsia="en-US"/>
        </w:rPr>
        <w:t>экономик</w:t>
      </w:r>
      <w:r w:rsidR="00E71E36" w:rsidRPr="004D67D8">
        <w:rPr>
          <w:rFonts w:ascii="Verdana" w:hAnsi="Verdana"/>
          <w:sz w:val="20"/>
          <w:lang w:eastAsia="en-US"/>
        </w:rPr>
        <w:t xml:space="preserve">. </w:t>
      </w:r>
      <w:r>
        <w:rPr>
          <w:rFonts w:ascii="Verdana" w:hAnsi="Verdana"/>
          <w:sz w:val="20"/>
          <w:lang w:eastAsia="en-US"/>
        </w:rPr>
        <w:t xml:space="preserve">В 2024 </w:t>
      </w:r>
      <w:r w:rsidR="00A67FD4">
        <w:rPr>
          <w:rFonts w:ascii="Verdana" w:hAnsi="Verdana"/>
          <w:sz w:val="20"/>
          <w:lang w:eastAsia="en-US"/>
        </w:rPr>
        <w:t>г.</w:t>
      </w:r>
      <w:r>
        <w:rPr>
          <w:rFonts w:ascii="Verdana" w:hAnsi="Verdana"/>
          <w:sz w:val="20"/>
          <w:lang w:eastAsia="en-US"/>
        </w:rPr>
        <w:t xml:space="preserve"> </w:t>
      </w:r>
      <w:r w:rsidR="00E23DB9">
        <w:rPr>
          <w:rFonts w:ascii="Verdana" w:hAnsi="Verdana"/>
          <w:sz w:val="20"/>
          <w:lang w:eastAsia="en-US"/>
        </w:rPr>
        <w:t xml:space="preserve">ВВП </w:t>
      </w:r>
      <w:r w:rsidR="00E71E36" w:rsidRPr="004D67D8">
        <w:rPr>
          <w:rFonts w:ascii="Verdana" w:hAnsi="Verdana"/>
          <w:sz w:val="20"/>
          <w:lang w:eastAsia="en-US"/>
        </w:rPr>
        <w:t>США</w:t>
      </w:r>
      <w:r w:rsidR="00E23DB9">
        <w:rPr>
          <w:rFonts w:ascii="Verdana" w:hAnsi="Verdana"/>
          <w:sz w:val="20"/>
          <w:lang w:eastAsia="en-US"/>
        </w:rPr>
        <w:t xml:space="preserve"> увеличится на 1</w:t>
      </w:r>
      <w:r w:rsidR="00E23DB9" w:rsidRPr="004D67D8">
        <w:rPr>
          <w:rFonts w:ascii="Verdana" w:hAnsi="Verdana"/>
          <w:sz w:val="20"/>
          <w:lang w:eastAsia="en-US"/>
        </w:rPr>
        <w:t>,</w:t>
      </w:r>
      <w:r w:rsidR="00E23DB9">
        <w:rPr>
          <w:rFonts w:ascii="Verdana" w:hAnsi="Verdana"/>
          <w:sz w:val="20"/>
          <w:lang w:eastAsia="en-US"/>
        </w:rPr>
        <w:t>9</w:t>
      </w:r>
      <w:r w:rsidR="00E23DB9" w:rsidRPr="004D67D8">
        <w:rPr>
          <w:rFonts w:ascii="Verdana" w:hAnsi="Verdana"/>
          <w:sz w:val="20"/>
          <w:lang w:eastAsia="en-US"/>
        </w:rPr>
        <w:t xml:space="preserve">% </w:t>
      </w:r>
      <w:r>
        <w:rPr>
          <w:rFonts w:ascii="Verdana" w:hAnsi="Verdana"/>
          <w:sz w:val="20"/>
          <w:lang w:eastAsia="en-US"/>
        </w:rPr>
        <w:t>по сравнению с ростом на</w:t>
      </w:r>
      <w:r w:rsidR="00E23DB9">
        <w:rPr>
          <w:rFonts w:ascii="Verdana" w:hAnsi="Verdana"/>
          <w:sz w:val="20"/>
          <w:lang w:eastAsia="en-US"/>
        </w:rPr>
        <w:t xml:space="preserve"> 2,5% в 2023 г. </w:t>
      </w:r>
      <w:r>
        <w:rPr>
          <w:rFonts w:ascii="Verdana" w:hAnsi="Verdana"/>
          <w:sz w:val="20"/>
          <w:lang w:eastAsia="en-US"/>
        </w:rPr>
        <w:t>из-за снижения</w:t>
      </w:r>
      <w:r w:rsidR="00750888">
        <w:rPr>
          <w:rFonts w:ascii="Verdana" w:hAnsi="Verdana"/>
          <w:sz w:val="20"/>
          <w:lang w:eastAsia="en-US"/>
        </w:rPr>
        <w:t xml:space="preserve"> потребительской активности</w:t>
      </w:r>
      <w:r w:rsidR="00E71E36" w:rsidRPr="004D67D8">
        <w:rPr>
          <w:rFonts w:ascii="Verdana" w:hAnsi="Verdana"/>
          <w:sz w:val="20"/>
          <w:lang w:eastAsia="en-US"/>
        </w:rPr>
        <w:t xml:space="preserve">. </w:t>
      </w:r>
      <w:r>
        <w:rPr>
          <w:rFonts w:ascii="Verdana" w:hAnsi="Verdana"/>
          <w:sz w:val="20"/>
          <w:lang w:eastAsia="en-US"/>
        </w:rPr>
        <w:t xml:space="preserve">В </w:t>
      </w:r>
      <w:r w:rsidR="00E71E36" w:rsidRPr="004D67D8">
        <w:rPr>
          <w:rFonts w:ascii="Verdana" w:hAnsi="Verdana"/>
          <w:sz w:val="20"/>
          <w:lang w:eastAsia="en-US"/>
        </w:rPr>
        <w:t xml:space="preserve">еврозоне сохранятся </w:t>
      </w:r>
      <w:r>
        <w:rPr>
          <w:rFonts w:ascii="Verdana" w:hAnsi="Verdana"/>
          <w:sz w:val="20"/>
          <w:lang w:eastAsia="en-US"/>
        </w:rPr>
        <w:t xml:space="preserve">слабые темпы экономического роста </w:t>
      </w:r>
      <w:r w:rsidR="00EE5E48">
        <w:rPr>
          <w:rFonts w:ascii="Verdana" w:hAnsi="Verdana"/>
          <w:sz w:val="20"/>
          <w:lang w:eastAsia="en-US"/>
        </w:rPr>
        <w:t xml:space="preserve">на уровне предыдущего </w:t>
      </w:r>
      <w:r w:rsidR="007D7027">
        <w:rPr>
          <w:rFonts w:ascii="Verdana" w:hAnsi="Verdana"/>
          <w:sz w:val="20"/>
          <w:lang w:eastAsia="en-US"/>
        </w:rPr>
        <w:t>года</w:t>
      </w:r>
      <w:r w:rsidR="00A67FD4">
        <w:rPr>
          <w:rFonts w:ascii="Verdana" w:hAnsi="Verdana"/>
          <w:sz w:val="20"/>
          <w:lang w:eastAsia="en-US"/>
        </w:rPr>
        <w:t xml:space="preserve"> </w:t>
      </w:r>
      <w:r w:rsidR="007D7027" w:rsidRPr="004D67D8">
        <w:rPr>
          <w:rFonts w:ascii="Verdana" w:hAnsi="Verdana"/>
          <w:sz w:val="20"/>
          <w:lang w:eastAsia="en-US"/>
        </w:rPr>
        <w:t>—</w:t>
      </w:r>
      <w:r w:rsidR="00E71E36" w:rsidRPr="004D67D8">
        <w:rPr>
          <w:rFonts w:ascii="Verdana" w:hAnsi="Verdana"/>
          <w:sz w:val="20"/>
          <w:lang w:eastAsia="en-US"/>
        </w:rPr>
        <w:t xml:space="preserve"> около 0,</w:t>
      </w:r>
      <w:r w:rsidR="00EE5E48">
        <w:rPr>
          <w:rFonts w:ascii="Verdana" w:hAnsi="Verdana"/>
          <w:sz w:val="20"/>
          <w:lang w:eastAsia="en-US"/>
        </w:rPr>
        <w:t>5</w:t>
      </w:r>
      <w:r w:rsidR="00E71E36" w:rsidRPr="004D67D8">
        <w:rPr>
          <w:rFonts w:ascii="Verdana" w:hAnsi="Verdana"/>
          <w:sz w:val="20"/>
          <w:lang w:eastAsia="en-US"/>
        </w:rPr>
        <w:t xml:space="preserve">%. </w:t>
      </w:r>
      <w:r>
        <w:rPr>
          <w:rFonts w:ascii="Verdana" w:hAnsi="Verdana"/>
          <w:sz w:val="20"/>
          <w:lang w:eastAsia="en-US"/>
        </w:rPr>
        <w:t>В то же время</w:t>
      </w:r>
      <w:r w:rsidR="00A67FD4">
        <w:rPr>
          <w:rFonts w:ascii="Verdana" w:hAnsi="Verdana"/>
          <w:sz w:val="20"/>
          <w:lang w:eastAsia="en-US"/>
        </w:rPr>
        <w:t xml:space="preserve"> </w:t>
      </w:r>
      <w:r w:rsidR="00EE5E48" w:rsidRPr="00EE5E48">
        <w:rPr>
          <w:rFonts w:ascii="Verdana" w:hAnsi="Verdana"/>
          <w:sz w:val="20"/>
          <w:lang w:eastAsia="en-US"/>
        </w:rPr>
        <w:t>Китайской экономике вновь удастся преодолеть ориентир по росту в 5% за счет мер государственного стимулирования</w:t>
      </w:r>
      <w:r w:rsidR="00E71E36" w:rsidRPr="004D67D8">
        <w:rPr>
          <w:rFonts w:ascii="Verdana" w:hAnsi="Verdana"/>
          <w:sz w:val="20"/>
          <w:lang w:eastAsia="en-US"/>
        </w:rPr>
        <w:t>.</w:t>
      </w:r>
      <w:r>
        <w:rPr>
          <w:rFonts w:ascii="Verdana" w:hAnsi="Verdana"/>
          <w:sz w:val="20"/>
          <w:lang w:eastAsia="en-US"/>
        </w:rPr>
        <w:t xml:space="preserve"> </w:t>
      </w:r>
      <w:r w:rsidR="00DF2708">
        <w:rPr>
          <w:rFonts w:ascii="Verdana" w:hAnsi="Verdana"/>
          <w:sz w:val="20"/>
          <w:lang w:eastAsia="en-US"/>
        </w:rPr>
        <w:t xml:space="preserve">По мнению аналитиков ЕАБР, </w:t>
      </w:r>
      <w:r w:rsidR="00052B22">
        <w:rPr>
          <w:rFonts w:ascii="Verdana" w:hAnsi="Verdana"/>
          <w:sz w:val="20"/>
          <w:lang w:eastAsia="en-US"/>
        </w:rPr>
        <w:t>п</w:t>
      </w:r>
      <w:r w:rsidR="00EE5E48" w:rsidRPr="00EE5E48">
        <w:rPr>
          <w:rFonts w:ascii="Verdana" w:hAnsi="Verdana"/>
          <w:sz w:val="20"/>
          <w:lang w:eastAsia="en-US"/>
        </w:rPr>
        <w:t xml:space="preserve">рогноз мировой экономики не </w:t>
      </w:r>
      <w:r w:rsidR="005B3975">
        <w:rPr>
          <w:rFonts w:ascii="Verdana" w:hAnsi="Verdana"/>
          <w:sz w:val="20"/>
          <w:lang w:eastAsia="en-US"/>
        </w:rPr>
        <w:t>создает</w:t>
      </w:r>
      <w:r w:rsidR="00EE5E48" w:rsidRPr="00EE5E48">
        <w:rPr>
          <w:rFonts w:ascii="Verdana" w:hAnsi="Verdana"/>
          <w:sz w:val="20"/>
          <w:lang w:eastAsia="en-US"/>
        </w:rPr>
        <w:t xml:space="preserve"> условий для широкого роста цен на сырьевые товары</w:t>
      </w:r>
      <w:r w:rsidR="007D7027">
        <w:rPr>
          <w:rFonts w:ascii="Verdana" w:hAnsi="Verdana"/>
          <w:sz w:val="20"/>
          <w:lang w:eastAsia="en-US"/>
        </w:rPr>
        <w:t>.</w:t>
      </w:r>
      <w:r w:rsidR="00E71E36" w:rsidRPr="004D67D8">
        <w:rPr>
          <w:rFonts w:ascii="Verdana" w:hAnsi="Verdana"/>
          <w:sz w:val="20"/>
          <w:lang w:eastAsia="en-US"/>
        </w:rPr>
        <w:t xml:space="preserve"> </w:t>
      </w:r>
    </w:p>
    <w:p w14:paraId="54CA6DBA" w14:textId="77777777" w:rsidR="004D67D8" w:rsidRPr="004D67D8" w:rsidRDefault="00EC2098" w:rsidP="004D67D8">
      <w:pPr>
        <w:pStyle w:val="ArialRegular12pt"/>
        <w:spacing w:after="120" w:line="240" w:lineRule="auto"/>
        <w:rPr>
          <w:rFonts w:ascii="Verdana" w:hAnsi="Verdana"/>
          <w:sz w:val="20"/>
          <w:lang w:eastAsia="en-US"/>
        </w:rPr>
      </w:pPr>
      <w:r>
        <w:rPr>
          <w:rFonts w:ascii="Verdana" w:hAnsi="Verdana"/>
          <w:sz w:val="20"/>
          <w:lang w:eastAsia="en-US"/>
        </w:rPr>
        <w:t>Для большинства стран-участниц ЕАБР прогно</w:t>
      </w:r>
      <w:r w:rsidR="00052B22">
        <w:rPr>
          <w:rFonts w:ascii="Verdana" w:hAnsi="Verdana"/>
          <w:sz w:val="20"/>
          <w:lang w:eastAsia="en-US"/>
        </w:rPr>
        <w:t xml:space="preserve">з </w:t>
      </w:r>
      <w:r w:rsidR="00A67FD4">
        <w:rPr>
          <w:rFonts w:ascii="Verdana" w:hAnsi="Verdana"/>
          <w:sz w:val="20"/>
          <w:lang w:eastAsia="en-US"/>
        </w:rPr>
        <w:t xml:space="preserve">был повышен </w:t>
      </w:r>
      <w:r w:rsidR="00052B22">
        <w:rPr>
          <w:rFonts w:ascii="Verdana" w:hAnsi="Verdana"/>
          <w:sz w:val="20"/>
          <w:lang w:eastAsia="en-US"/>
        </w:rPr>
        <w:t>б</w:t>
      </w:r>
      <w:r>
        <w:rPr>
          <w:rFonts w:ascii="Verdana" w:hAnsi="Verdana"/>
          <w:sz w:val="20"/>
          <w:lang w:eastAsia="en-US"/>
        </w:rPr>
        <w:t xml:space="preserve">лагодаря </w:t>
      </w:r>
      <w:r w:rsidR="000739A9">
        <w:rPr>
          <w:rFonts w:ascii="Verdana" w:hAnsi="Verdana"/>
          <w:sz w:val="20"/>
          <w:lang w:eastAsia="en-US"/>
        </w:rPr>
        <w:t>с</w:t>
      </w:r>
      <w:r w:rsidR="00C04A8C">
        <w:rPr>
          <w:rFonts w:ascii="Verdana" w:hAnsi="Verdana"/>
          <w:sz w:val="20"/>
          <w:lang w:eastAsia="en-US"/>
        </w:rPr>
        <w:t>ильны</w:t>
      </w:r>
      <w:r>
        <w:rPr>
          <w:rFonts w:ascii="Verdana" w:hAnsi="Verdana"/>
          <w:sz w:val="20"/>
          <w:lang w:eastAsia="en-US"/>
        </w:rPr>
        <w:t>м</w:t>
      </w:r>
      <w:r w:rsidR="00C04A8C">
        <w:rPr>
          <w:rFonts w:ascii="Verdana" w:hAnsi="Verdana"/>
          <w:sz w:val="20"/>
          <w:lang w:eastAsia="en-US"/>
        </w:rPr>
        <w:t xml:space="preserve"> </w:t>
      </w:r>
      <w:r>
        <w:rPr>
          <w:rFonts w:ascii="Verdana" w:hAnsi="Verdana"/>
          <w:sz w:val="20"/>
          <w:lang w:eastAsia="en-US"/>
        </w:rPr>
        <w:t xml:space="preserve">показателям </w:t>
      </w:r>
      <w:r w:rsidR="00C04A8C">
        <w:rPr>
          <w:rFonts w:ascii="Verdana" w:hAnsi="Verdana"/>
          <w:sz w:val="20"/>
          <w:lang w:eastAsia="en-US"/>
        </w:rPr>
        <w:t>начала года и продолжающе</w:t>
      </w:r>
      <w:r>
        <w:rPr>
          <w:rFonts w:ascii="Verdana" w:hAnsi="Verdana"/>
          <w:sz w:val="20"/>
          <w:lang w:eastAsia="en-US"/>
        </w:rPr>
        <w:t>муся</w:t>
      </w:r>
      <w:r w:rsidR="00C04A8C">
        <w:rPr>
          <w:rFonts w:ascii="Verdana" w:hAnsi="Verdana"/>
          <w:sz w:val="20"/>
          <w:lang w:eastAsia="en-US"/>
        </w:rPr>
        <w:t xml:space="preserve"> активно</w:t>
      </w:r>
      <w:r>
        <w:rPr>
          <w:rFonts w:ascii="Verdana" w:hAnsi="Verdana"/>
          <w:sz w:val="20"/>
          <w:lang w:eastAsia="en-US"/>
        </w:rPr>
        <w:t>му</w:t>
      </w:r>
      <w:r w:rsidR="00C04A8C">
        <w:rPr>
          <w:rFonts w:ascii="Verdana" w:hAnsi="Verdana"/>
          <w:sz w:val="20"/>
          <w:lang w:eastAsia="en-US"/>
        </w:rPr>
        <w:t xml:space="preserve"> использовани</w:t>
      </w:r>
      <w:r>
        <w:rPr>
          <w:rFonts w:ascii="Verdana" w:hAnsi="Verdana"/>
          <w:sz w:val="20"/>
          <w:lang w:eastAsia="en-US"/>
        </w:rPr>
        <w:t>ю</w:t>
      </w:r>
      <w:r w:rsidR="00C04A8C">
        <w:rPr>
          <w:rFonts w:ascii="Verdana" w:hAnsi="Verdana"/>
          <w:sz w:val="20"/>
          <w:lang w:eastAsia="en-US"/>
        </w:rPr>
        <w:t xml:space="preserve"> внутренних источников роста</w:t>
      </w:r>
      <w:r w:rsidR="00052B22">
        <w:rPr>
          <w:rFonts w:ascii="Verdana" w:hAnsi="Verdana"/>
          <w:sz w:val="20"/>
          <w:lang w:eastAsia="en-US"/>
        </w:rPr>
        <w:t>.</w:t>
      </w:r>
      <w:r w:rsidR="00E71E36" w:rsidRPr="004D67D8">
        <w:rPr>
          <w:rFonts w:ascii="Verdana" w:hAnsi="Verdana"/>
          <w:sz w:val="20"/>
          <w:lang w:eastAsia="en-US"/>
        </w:rPr>
        <w:t xml:space="preserve"> Стимулирующ</w:t>
      </w:r>
      <w:r w:rsidR="00820270">
        <w:rPr>
          <w:rFonts w:ascii="Verdana" w:hAnsi="Verdana"/>
          <w:sz w:val="20"/>
          <w:lang w:eastAsia="en-US"/>
        </w:rPr>
        <w:t>ая</w:t>
      </w:r>
      <w:r w:rsidR="00E71E36" w:rsidRPr="004D67D8">
        <w:rPr>
          <w:rFonts w:ascii="Verdana" w:hAnsi="Verdana"/>
          <w:sz w:val="20"/>
          <w:lang w:eastAsia="en-US"/>
        </w:rPr>
        <w:t xml:space="preserve"> </w:t>
      </w:r>
      <w:r w:rsidR="00820270" w:rsidRPr="004D67D8">
        <w:rPr>
          <w:rFonts w:ascii="Verdana" w:hAnsi="Verdana"/>
          <w:sz w:val="20"/>
          <w:lang w:eastAsia="en-US"/>
        </w:rPr>
        <w:t>бюджетн</w:t>
      </w:r>
      <w:r w:rsidR="00820270">
        <w:rPr>
          <w:rFonts w:ascii="Verdana" w:hAnsi="Verdana"/>
          <w:sz w:val="20"/>
          <w:lang w:eastAsia="en-US"/>
        </w:rPr>
        <w:t>ая</w:t>
      </w:r>
      <w:r w:rsidR="00820270" w:rsidRPr="004D67D8">
        <w:rPr>
          <w:rFonts w:ascii="Verdana" w:hAnsi="Verdana"/>
          <w:sz w:val="20"/>
          <w:lang w:eastAsia="en-US"/>
        </w:rPr>
        <w:t xml:space="preserve"> политик</w:t>
      </w:r>
      <w:r w:rsidR="00820270">
        <w:rPr>
          <w:rFonts w:ascii="Verdana" w:hAnsi="Verdana"/>
          <w:sz w:val="20"/>
          <w:lang w:eastAsia="en-US"/>
        </w:rPr>
        <w:t>а</w:t>
      </w:r>
      <w:r w:rsidR="00820270" w:rsidRPr="004D67D8">
        <w:rPr>
          <w:rFonts w:ascii="Verdana" w:hAnsi="Verdana"/>
          <w:sz w:val="20"/>
          <w:lang w:eastAsia="en-US"/>
        </w:rPr>
        <w:t xml:space="preserve"> </w:t>
      </w:r>
      <w:r w:rsidR="00E71E36" w:rsidRPr="004D67D8">
        <w:rPr>
          <w:rFonts w:ascii="Verdana" w:hAnsi="Verdana"/>
          <w:sz w:val="20"/>
          <w:lang w:eastAsia="en-US"/>
        </w:rPr>
        <w:t>и структурные преобразования создают условия для поддержки инвестиционной и потребительской активности.</w:t>
      </w:r>
      <w:r w:rsidR="00052B22">
        <w:rPr>
          <w:rFonts w:ascii="Verdana" w:hAnsi="Verdana"/>
          <w:sz w:val="20"/>
          <w:lang w:eastAsia="en-US"/>
        </w:rPr>
        <w:t xml:space="preserve"> </w:t>
      </w:r>
      <w:r w:rsidR="00E71E36" w:rsidRPr="004D67D8">
        <w:rPr>
          <w:rFonts w:ascii="Verdana" w:hAnsi="Verdana"/>
          <w:sz w:val="20"/>
          <w:lang w:eastAsia="en-US"/>
        </w:rPr>
        <w:t xml:space="preserve">Аналитики ЕАБР ожидают прирост ВВП региона операций Банка на </w:t>
      </w:r>
      <w:r w:rsidR="00C04A8C">
        <w:rPr>
          <w:rFonts w:ascii="Verdana" w:hAnsi="Verdana"/>
          <w:sz w:val="20"/>
          <w:lang w:eastAsia="en-US"/>
        </w:rPr>
        <w:t>3,</w:t>
      </w:r>
      <w:r w:rsidR="0019476E">
        <w:rPr>
          <w:rFonts w:ascii="Verdana" w:hAnsi="Verdana"/>
          <w:sz w:val="20"/>
          <w:lang w:eastAsia="en-US"/>
        </w:rPr>
        <w:t>4</w:t>
      </w:r>
      <w:r w:rsidR="00E71E36" w:rsidRPr="004D67D8">
        <w:rPr>
          <w:rFonts w:ascii="Verdana" w:hAnsi="Verdana"/>
          <w:sz w:val="20"/>
          <w:lang w:eastAsia="en-US"/>
        </w:rPr>
        <w:t>% по итогам 2024 г.</w:t>
      </w:r>
    </w:p>
    <w:p w14:paraId="74E04E5C" w14:textId="77777777" w:rsidR="004D67D8" w:rsidRDefault="00EC2098" w:rsidP="004D67D8">
      <w:pPr>
        <w:spacing w:after="0"/>
        <w:jc w:val="both"/>
        <w:rPr>
          <w:rFonts w:ascii="Verdana" w:hAnsi="Verdana" w:cs="Arial"/>
          <w:b/>
          <w:sz w:val="20"/>
          <w:szCs w:val="20"/>
        </w:rPr>
      </w:pPr>
      <w:r w:rsidRPr="004D67D8">
        <w:rPr>
          <w:rFonts w:ascii="Verdana" w:hAnsi="Verdana" w:cs="Arial"/>
          <w:b/>
          <w:sz w:val="20"/>
          <w:szCs w:val="20"/>
        </w:rPr>
        <w:t xml:space="preserve">Прогноз основных макроэкономических показателей государств — участников ЕАБР на 2024 </w:t>
      </w:r>
      <w:r w:rsidR="00A67FD4">
        <w:rPr>
          <w:rFonts w:ascii="Verdana" w:hAnsi="Verdana" w:cs="Arial"/>
          <w:b/>
          <w:sz w:val="20"/>
          <w:szCs w:val="20"/>
        </w:rPr>
        <w:t>г.</w:t>
      </w:r>
    </w:p>
    <w:p w14:paraId="5C2B1ECC" w14:textId="410281CD" w:rsidR="007D7027" w:rsidRPr="004D67D8" w:rsidRDefault="003F26E7" w:rsidP="004D67D8">
      <w:pPr>
        <w:spacing w:after="0"/>
        <w:jc w:val="both"/>
        <w:rPr>
          <w:rFonts w:ascii="Verdana" w:hAnsi="Verdana" w:cs="Arial"/>
          <w:b/>
          <w:sz w:val="20"/>
          <w:szCs w:val="20"/>
        </w:rPr>
      </w:pPr>
      <w:r>
        <w:rPr>
          <w:noProof/>
          <w:lang w:eastAsia="ru-RU"/>
        </w:rPr>
        <w:drawing>
          <wp:inline distT="0" distB="0" distL="0" distR="0" wp14:anchorId="183A7FA6" wp14:editId="294725C3">
            <wp:extent cx="5619750" cy="2847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3227" t="2237" r="1569" b="2216"/>
                    <a:stretch/>
                  </pic:blipFill>
                  <pic:spPr bwMode="auto">
                    <a:xfrm>
                      <a:off x="0" y="0"/>
                      <a:ext cx="5633346" cy="2854865"/>
                    </a:xfrm>
                    <a:prstGeom prst="rect">
                      <a:avLst/>
                    </a:prstGeom>
                    <a:ln>
                      <a:noFill/>
                    </a:ln>
                    <a:extLst>
                      <a:ext uri="{53640926-AAD7-44D8-BBD7-CCE9431645EC}">
                        <a14:shadowObscured xmlns:a14="http://schemas.microsoft.com/office/drawing/2010/main"/>
                      </a:ext>
                    </a:extLst>
                  </pic:spPr>
                </pic:pic>
              </a:graphicData>
            </a:graphic>
          </wp:inline>
        </w:drawing>
      </w:r>
    </w:p>
    <w:p w14:paraId="7D497037" w14:textId="77777777" w:rsidR="004D67D8" w:rsidRPr="004D67D8" w:rsidRDefault="00EC2098" w:rsidP="004D67D8">
      <w:pPr>
        <w:spacing w:after="240" w:line="240" w:lineRule="auto"/>
        <w:jc w:val="both"/>
        <w:rPr>
          <w:rFonts w:ascii="Verdana" w:hAnsi="Verdana" w:cs="Arial"/>
          <w:noProof/>
          <w:color w:val="FF0000"/>
          <w:sz w:val="20"/>
          <w:szCs w:val="20"/>
          <w:lang w:eastAsia="ru-RU"/>
        </w:rPr>
      </w:pPr>
      <w:r w:rsidRPr="004D67D8">
        <w:rPr>
          <w:rFonts w:ascii="Verdana" w:hAnsi="Verdana" w:cs="Arial"/>
          <w:b/>
          <w:i/>
          <w:sz w:val="20"/>
          <w:szCs w:val="20"/>
        </w:rPr>
        <w:t>Источник:</w:t>
      </w:r>
      <w:r w:rsidRPr="004D67D8">
        <w:rPr>
          <w:rFonts w:ascii="Verdana" w:hAnsi="Verdana" w:cs="Arial"/>
          <w:i/>
          <w:sz w:val="20"/>
          <w:szCs w:val="20"/>
        </w:rPr>
        <w:t xml:space="preserve"> </w:t>
      </w:r>
      <w:r w:rsidRPr="004D67D8">
        <w:rPr>
          <w:rFonts w:ascii="Verdana" w:hAnsi="Verdana" w:cs="Arial"/>
          <w:sz w:val="20"/>
          <w:szCs w:val="20"/>
        </w:rPr>
        <w:t>расчеты аналитиков ЕАБР</w:t>
      </w:r>
    </w:p>
    <w:p w14:paraId="0562F4B5" w14:textId="77777777" w:rsidR="00C536EA" w:rsidRPr="004D67D8" w:rsidRDefault="00EC2098" w:rsidP="00C536EA">
      <w:pPr>
        <w:pStyle w:val="ArialRegular12pt"/>
        <w:spacing w:before="120" w:after="120" w:line="240" w:lineRule="auto"/>
        <w:rPr>
          <w:rFonts w:ascii="Verdana" w:hAnsi="Verdana"/>
          <w:sz w:val="20"/>
          <w:lang w:eastAsia="en-US"/>
        </w:rPr>
      </w:pPr>
      <w:r>
        <w:rPr>
          <w:rFonts w:ascii="Verdana" w:hAnsi="Verdana"/>
          <w:sz w:val="20"/>
          <w:lang w:eastAsia="en-US"/>
        </w:rPr>
        <w:t>В</w:t>
      </w:r>
      <w:r w:rsidRPr="004D67D8">
        <w:rPr>
          <w:rFonts w:ascii="Verdana" w:hAnsi="Verdana"/>
          <w:sz w:val="20"/>
          <w:lang w:eastAsia="en-US"/>
        </w:rPr>
        <w:t xml:space="preserve"> Армении, Кыргызстане и Таджикистане </w:t>
      </w:r>
      <w:r>
        <w:rPr>
          <w:rFonts w:ascii="Verdana" w:hAnsi="Verdana"/>
          <w:sz w:val="20"/>
          <w:lang w:eastAsia="en-US"/>
        </w:rPr>
        <w:t>с</w:t>
      </w:r>
      <w:r w:rsidRPr="004D67D8">
        <w:rPr>
          <w:rFonts w:ascii="Verdana" w:hAnsi="Verdana"/>
          <w:sz w:val="20"/>
          <w:lang w:eastAsia="en-US"/>
        </w:rPr>
        <w:t xml:space="preserve">ильный внутренний спрос </w:t>
      </w:r>
      <w:r>
        <w:rPr>
          <w:rFonts w:ascii="Verdana" w:hAnsi="Verdana"/>
          <w:sz w:val="20"/>
          <w:lang w:eastAsia="en-US"/>
        </w:rPr>
        <w:t xml:space="preserve">и </w:t>
      </w:r>
      <w:r w:rsidR="00DF4772">
        <w:rPr>
          <w:rFonts w:ascii="Verdana" w:hAnsi="Verdana"/>
          <w:sz w:val="20"/>
          <w:lang w:eastAsia="en-US"/>
        </w:rPr>
        <w:t>увеличение экспорта основных металлов</w:t>
      </w:r>
      <w:r>
        <w:rPr>
          <w:rFonts w:ascii="Verdana" w:hAnsi="Verdana"/>
          <w:sz w:val="20"/>
          <w:lang w:eastAsia="en-US"/>
        </w:rPr>
        <w:t xml:space="preserve"> </w:t>
      </w:r>
      <w:r w:rsidRPr="004D67D8">
        <w:rPr>
          <w:rFonts w:ascii="Verdana" w:hAnsi="Verdana"/>
          <w:sz w:val="20"/>
          <w:lang w:eastAsia="en-US"/>
        </w:rPr>
        <w:t>обеспечил</w:t>
      </w:r>
      <w:r>
        <w:rPr>
          <w:rFonts w:ascii="Verdana" w:hAnsi="Verdana"/>
          <w:sz w:val="20"/>
          <w:lang w:eastAsia="en-US"/>
        </w:rPr>
        <w:t>и</w:t>
      </w:r>
      <w:r w:rsidRPr="004D67D8">
        <w:rPr>
          <w:rFonts w:ascii="Verdana" w:hAnsi="Verdana"/>
          <w:sz w:val="20"/>
          <w:lang w:eastAsia="en-US"/>
        </w:rPr>
        <w:t xml:space="preserve"> </w:t>
      </w:r>
      <w:r>
        <w:rPr>
          <w:rFonts w:ascii="Verdana" w:hAnsi="Verdana"/>
          <w:sz w:val="20"/>
          <w:lang w:eastAsia="en-US"/>
        </w:rPr>
        <w:t xml:space="preserve">высокие темпы роста в начале </w:t>
      </w:r>
      <w:r w:rsidRPr="004D67D8">
        <w:rPr>
          <w:rFonts w:ascii="Verdana" w:hAnsi="Verdana"/>
          <w:sz w:val="20"/>
          <w:lang w:eastAsia="en-US"/>
        </w:rPr>
        <w:t>202</w:t>
      </w:r>
      <w:r>
        <w:rPr>
          <w:rFonts w:ascii="Verdana" w:hAnsi="Verdana"/>
          <w:sz w:val="20"/>
          <w:lang w:eastAsia="en-US"/>
        </w:rPr>
        <w:t>4</w:t>
      </w:r>
      <w:r w:rsidRPr="004D67D8">
        <w:rPr>
          <w:rFonts w:ascii="Verdana" w:hAnsi="Verdana"/>
          <w:sz w:val="20"/>
          <w:lang w:eastAsia="en-US"/>
        </w:rPr>
        <w:t xml:space="preserve"> г. </w:t>
      </w:r>
      <w:r>
        <w:rPr>
          <w:rFonts w:ascii="Verdana" w:hAnsi="Verdana"/>
          <w:sz w:val="20"/>
          <w:lang w:eastAsia="en-US"/>
        </w:rPr>
        <w:t>Это позволило повысить прогноз экономического роста на</w:t>
      </w:r>
      <w:r w:rsidRPr="004D67D8">
        <w:rPr>
          <w:rFonts w:ascii="Verdana" w:hAnsi="Verdana"/>
          <w:sz w:val="20"/>
          <w:lang w:eastAsia="en-US"/>
        </w:rPr>
        <w:t xml:space="preserve"> </w:t>
      </w:r>
      <w:r>
        <w:rPr>
          <w:rFonts w:ascii="Verdana" w:hAnsi="Verdana"/>
          <w:sz w:val="20"/>
          <w:lang w:eastAsia="en-US"/>
        </w:rPr>
        <w:t>2024 г</w:t>
      </w:r>
      <w:r w:rsidR="005B3975">
        <w:rPr>
          <w:rFonts w:ascii="Verdana" w:hAnsi="Verdana"/>
          <w:sz w:val="20"/>
          <w:lang w:eastAsia="en-US"/>
        </w:rPr>
        <w:t>.</w:t>
      </w:r>
      <w:r w:rsidRPr="004D67D8">
        <w:rPr>
          <w:rFonts w:ascii="Verdana" w:hAnsi="Verdana"/>
          <w:sz w:val="20"/>
          <w:lang w:eastAsia="en-US"/>
        </w:rPr>
        <w:t xml:space="preserve"> </w:t>
      </w:r>
      <w:r>
        <w:rPr>
          <w:rFonts w:ascii="Verdana" w:hAnsi="Verdana"/>
          <w:sz w:val="20"/>
          <w:lang w:eastAsia="en-US"/>
        </w:rPr>
        <w:t>в этих странах</w:t>
      </w:r>
      <w:r w:rsidRPr="004D67D8">
        <w:rPr>
          <w:rFonts w:ascii="Verdana" w:hAnsi="Verdana"/>
          <w:sz w:val="20"/>
          <w:lang w:eastAsia="en-US"/>
        </w:rPr>
        <w:t xml:space="preserve">: в Армении ВВП увеличится на </w:t>
      </w:r>
      <w:r>
        <w:rPr>
          <w:rFonts w:ascii="Verdana" w:hAnsi="Verdana"/>
          <w:sz w:val="20"/>
          <w:lang w:eastAsia="en-US"/>
        </w:rPr>
        <w:t>7,5</w:t>
      </w:r>
      <w:r w:rsidRPr="004D67D8">
        <w:rPr>
          <w:rFonts w:ascii="Verdana" w:hAnsi="Verdana"/>
          <w:sz w:val="20"/>
          <w:lang w:eastAsia="en-US"/>
        </w:rPr>
        <w:t>%,</w:t>
      </w:r>
      <w:r w:rsidR="00A67FD4">
        <w:rPr>
          <w:rFonts w:ascii="Verdana" w:hAnsi="Verdana"/>
          <w:sz w:val="20"/>
          <w:lang w:eastAsia="en-US"/>
        </w:rPr>
        <w:t xml:space="preserve"> в</w:t>
      </w:r>
      <w:r w:rsidRPr="004D67D8">
        <w:rPr>
          <w:rFonts w:ascii="Verdana" w:hAnsi="Verdana"/>
          <w:sz w:val="20"/>
          <w:lang w:eastAsia="en-US"/>
        </w:rPr>
        <w:t xml:space="preserve"> Кыргызстане — на </w:t>
      </w:r>
      <w:r>
        <w:rPr>
          <w:rFonts w:ascii="Verdana" w:hAnsi="Verdana"/>
          <w:sz w:val="20"/>
          <w:lang w:eastAsia="en-US"/>
        </w:rPr>
        <w:t>5</w:t>
      </w:r>
      <w:r w:rsidRPr="004D67D8">
        <w:rPr>
          <w:rFonts w:ascii="Verdana" w:hAnsi="Verdana"/>
          <w:sz w:val="20"/>
          <w:lang w:eastAsia="en-US"/>
        </w:rPr>
        <w:t xml:space="preserve">,5%, в Таджикистане — на </w:t>
      </w:r>
      <w:r>
        <w:rPr>
          <w:rFonts w:ascii="Verdana" w:hAnsi="Verdana"/>
          <w:sz w:val="20"/>
          <w:lang w:eastAsia="en-US"/>
        </w:rPr>
        <w:t>8,0</w:t>
      </w:r>
      <w:r w:rsidRPr="004D67D8">
        <w:rPr>
          <w:rFonts w:ascii="Verdana" w:hAnsi="Verdana"/>
          <w:sz w:val="20"/>
          <w:lang w:eastAsia="en-US"/>
        </w:rPr>
        <w:t>%.</w:t>
      </w:r>
    </w:p>
    <w:p w14:paraId="405267A5" w14:textId="77777777" w:rsidR="004D67D8" w:rsidRPr="004D67D8" w:rsidRDefault="00EC2098" w:rsidP="004D67D8">
      <w:pPr>
        <w:pStyle w:val="ArialRegular12pt"/>
        <w:spacing w:before="120" w:after="120" w:line="240" w:lineRule="auto"/>
        <w:rPr>
          <w:rFonts w:ascii="Verdana" w:hAnsi="Verdana"/>
          <w:sz w:val="20"/>
          <w:lang w:eastAsia="en-US"/>
        </w:rPr>
      </w:pPr>
      <w:r>
        <w:rPr>
          <w:rFonts w:ascii="Verdana" w:hAnsi="Verdana"/>
          <w:sz w:val="20"/>
          <w:lang w:eastAsia="en-US"/>
        </w:rPr>
        <w:t xml:space="preserve">Экономика Казахстана сохранит высокие темпы роста </w:t>
      </w:r>
      <w:r w:rsidR="00E71E36" w:rsidRPr="004D67D8">
        <w:rPr>
          <w:rFonts w:ascii="Verdana" w:hAnsi="Verdana"/>
          <w:sz w:val="20"/>
          <w:lang w:eastAsia="en-US"/>
        </w:rPr>
        <w:t xml:space="preserve">ВВП </w:t>
      </w:r>
      <w:r>
        <w:rPr>
          <w:rFonts w:ascii="Verdana" w:hAnsi="Verdana"/>
          <w:sz w:val="20"/>
          <w:lang w:eastAsia="en-US"/>
        </w:rPr>
        <w:t>на уровне около</w:t>
      </w:r>
      <w:r w:rsidR="005B3975">
        <w:rPr>
          <w:rFonts w:ascii="Verdana" w:hAnsi="Verdana"/>
          <w:sz w:val="20"/>
          <w:lang w:eastAsia="en-US"/>
        </w:rPr>
        <w:t xml:space="preserve"> 5% в 2024 г</w:t>
      </w:r>
      <w:r w:rsidR="00E71E36" w:rsidRPr="004D67D8">
        <w:rPr>
          <w:rFonts w:ascii="Verdana" w:hAnsi="Verdana"/>
          <w:sz w:val="20"/>
          <w:lang w:eastAsia="en-US"/>
        </w:rPr>
        <w:t>.</w:t>
      </w:r>
      <w:r w:rsidR="00922160">
        <w:rPr>
          <w:rFonts w:ascii="Verdana" w:hAnsi="Verdana"/>
          <w:sz w:val="20"/>
          <w:lang w:eastAsia="en-US"/>
        </w:rPr>
        <w:t xml:space="preserve"> </w:t>
      </w:r>
      <w:r w:rsidR="003B655F" w:rsidRPr="003B655F">
        <w:rPr>
          <w:rFonts w:ascii="Verdana" w:hAnsi="Verdana"/>
          <w:sz w:val="20"/>
          <w:lang w:eastAsia="en-US"/>
        </w:rPr>
        <w:t xml:space="preserve">Меры правительства по </w:t>
      </w:r>
      <w:r w:rsidR="00417D6A">
        <w:rPr>
          <w:rFonts w:ascii="Verdana" w:hAnsi="Verdana"/>
          <w:sz w:val="20"/>
          <w:lang w:eastAsia="en-US"/>
        </w:rPr>
        <w:t xml:space="preserve">диверсификации экономики </w:t>
      </w:r>
      <w:r w:rsidR="003B655F" w:rsidRPr="003B655F">
        <w:rPr>
          <w:rFonts w:ascii="Verdana" w:hAnsi="Verdana"/>
          <w:sz w:val="20"/>
          <w:lang w:eastAsia="en-US"/>
        </w:rPr>
        <w:t>Казахстан</w:t>
      </w:r>
      <w:r w:rsidR="00417D6A">
        <w:rPr>
          <w:rFonts w:ascii="Verdana" w:hAnsi="Verdana"/>
          <w:sz w:val="20"/>
          <w:lang w:eastAsia="en-US"/>
        </w:rPr>
        <w:t>а</w:t>
      </w:r>
      <w:r w:rsidR="003B655F" w:rsidRPr="003B655F">
        <w:rPr>
          <w:rFonts w:ascii="Verdana" w:hAnsi="Verdana"/>
          <w:sz w:val="20"/>
          <w:lang w:eastAsia="en-US"/>
        </w:rPr>
        <w:t xml:space="preserve"> будут выполнять роль </w:t>
      </w:r>
      <w:r w:rsidR="003B655F" w:rsidRPr="003B655F">
        <w:rPr>
          <w:rFonts w:ascii="Verdana" w:hAnsi="Verdana"/>
          <w:sz w:val="20"/>
          <w:lang w:eastAsia="en-US"/>
        </w:rPr>
        <w:lastRenderedPageBreak/>
        <w:t xml:space="preserve">катализатора </w:t>
      </w:r>
      <w:r w:rsidR="00820270">
        <w:rPr>
          <w:rFonts w:ascii="Verdana" w:hAnsi="Verdana"/>
          <w:sz w:val="20"/>
          <w:lang w:eastAsia="en-US"/>
        </w:rPr>
        <w:t>в</w:t>
      </w:r>
      <w:r w:rsidR="00820270" w:rsidRPr="003B655F">
        <w:rPr>
          <w:rFonts w:ascii="Verdana" w:hAnsi="Verdana"/>
          <w:sz w:val="20"/>
          <w:lang w:eastAsia="en-US"/>
        </w:rPr>
        <w:t xml:space="preserve"> экономик</w:t>
      </w:r>
      <w:r w:rsidR="00820270">
        <w:rPr>
          <w:rFonts w:ascii="Verdana" w:hAnsi="Verdana"/>
          <w:sz w:val="20"/>
          <w:lang w:eastAsia="en-US"/>
        </w:rPr>
        <w:t>е</w:t>
      </w:r>
      <w:r w:rsidR="003B655F">
        <w:rPr>
          <w:rFonts w:ascii="Verdana" w:hAnsi="Verdana"/>
          <w:sz w:val="20"/>
          <w:lang w:eastAsia="en-US"/>
        </w:rPr>
        <w:t xml:space="preserve">, позволяя поддерживать </w:t>
      </w:r>
      <w:r w:rsidR="00820270">
        <w:rPr>
          <w:rFonts w:ascii="Verdana" w:hAnsi="Verdana"/>
          <w:sz w:val="20"/>
          <w:lang w:eastAsia="en-US"/>
        </w:rPr>
        <w:t xml:space="preserve">устойчивые </w:t>
      </w:r>
      <w:r w:rsidR="003B655F" w:rsidRPr="00820270">
        <w:rPr>
          <w:rFonts w:ascii="Verdana" w:hAnsi="Verdana"/>
          <w:sz w:val="20"/>
          <w:lang w:eastAsia="en-US"/>
        </w:rPr>
        <w:t xml:space="preserve">темпы </w:t>
      </w:r>
      <w:r w:rsidR="00820270" w:rsidRPr="00C536EA">
        <w:rPr>
          <w:rFonts w:ascii="Verdana" w:hAnsi="Verdana"/>
          <w:sz w:val="20"/>
          <w:lang w:eastAsia="en-US"/>
        </w:rPr>
        <w:t xml:space="preserve">роста ВВП </w:t>
      </w:r>
      <w:r w:rsidR="003B655F" w:rsidRPr="00820270">
        <w:rPr>
          <w:rFonts w:ascii="Verdana" w:hAnsi="Verdana"/>
          <w:sz w:val="20"/>
          <w:lang w:eastAsia="en-US"/>
        </w:rPr>
        <w:t>на</w:t>
      </w:r>
      <w:r w:rsidR="003B655F">
        <w:rPr>
          <w:rFonts w:ascii="Verdana" w:hAnsi="Verdana"/>
          <w:sz w:val="20"/>
          <w:lang w:eastAsia="en-US"/>
        </w:rPr>
        <w:t xml:space="preserve"> среднесрочном горизонте</w:t>
      </w:r>
      <w:r w:rsidR="00E71E36" w:rsidRPr="004D67D8">
        <w:rPr>
          <w:rFonts w:ascii="Verdana" w:hAnsi="Verdana"/>
          <w:sz w:val="20"/>
          <w:lang w:eastAsia="en-US"/>
        </w:rPr>
        <w:t xml:space="preserve">. </w:t>
      </w:r>
    </w:p>
    <w:p w14:paraId="345EFF02" w14:textId="77777777" w:rsidR="004D67D8" w:rsidRDefault="00EC2098" w:rsidP="004D67D8">
      <w:pPr>
        <w:pStyle w:val="ArialRegular12pt"/>
        <w:spacing w:before="120" w:after="120" w:line="240" w:lineRule="auto"/>
        <w:rPr>
          <w:rFonts w:ascii="Verdana" w:hAnsi="Verdana"/>
          <w:sz w:val="20"/>
          <w:lang w:eastAsia="en-US"/>
        </w:rPr>
      </w:pPr>
      <w:r>
        <w:rPr>
          <w:rFonts w:ascii="Verdana" w:hAnsi="Verdana"/>
          <w:sz w:val="20"/>
          <w:lang w:eastAsia="en-US"/>
        </w:rPr>
        <w:t xml:space="preserve">Прогноз роста ВВП в России повышен до </w:t>
      </w:r>
      <w:r w:rsidR="00C66E2B">
        <w:rPr>
          <w:rFonts w:ascii="Verdana" w:hAnsi="Verdana"/>
          <w:sz w:val="20"/>
          <w:lang w:eastAsia="en-US"/>
        </w:rPr>
        <w:t>3</w:t>
      </w:r>
      <w:r>
        <w:rPr>
          <w:rFonts w:ascii="Verdana" w:hAnsi="Verdana"/>
          <w:sz w:val="20"/>
          <w:lang w:eastAsia="en-US"/>
        </w:rPr>
        <w:t>,</w:t>
      </w:r>
      <w:r w:rsidR="00C66E2B">
        <w:rPr>
          <w:rFonts w:ascii="Verdana" w:hAnsi="Verdana"/>
          <w:sz w:val="20"/>
          <w:lang w:eastAsia="en-US"/>
        </w:rPr>
        <w:t>0</w:t>
      </w:r>
      <w:r>
        <w:rPr>
          <w:rFonts w:ascii="Verdana" w:hAnsi="Verdana"/>
          <w:sz w:val="20"/>
          <w:lang w:eastAsia="en-US"/>
        </w:rPr>
        <w:t>% в 2024 г. Аналитики ЕАБР отмечают</w:t>
      </w:r>
      <w:r w:rsidR="00D21A6E">
        <w:rPr>
          <w:rFonts w:ascii="Verdana" w:hAnsi="Verdana"/>
          <w:sz w:val="20"/>
          <w:lang w:eastAsia="en-US"/>
        </w:rPr>
        <w:t xml:space="preserve"> </w:t>
      </w:r>
      <w:r>
        <w:rPr>
          <w:rFonts w:ascii="Verdana" w:hAnsi="Verdana"/>
          <w:sz w:val="20"/>
          <w:lang w:eastAsia="en-US"/>
        </w:rPr>
        <w:t xml:space="preserve">дальнейшее расширение </w:t>
      </w:r>
      <w:r w:rsidR="00D21A6E">
        <w:rPr>
          <w:rFonts w:ascii="Verdana" w:hAnsi="Verdana"/>
          <w:sz w:val="20"/>
          <w:lang w:eastAsia="en-US"/>
        </w:rPr>
        <w:t>внутреннего спроса</w:t>
      </w:r>
      <w:r w:rsidR="00922160">
        <w:rPr>
          <w:rFonts w:ascii="Verdana" w:hAnsi="Verdana"/>
          <w:sz w:val="20"/>
          <w:lang w:eastAsia="en-US"/>
        </w:rPr>
        <w:t>,</w:t>
      </w:r>
      <w:r w:rsidR="00FB6EAF">
        <w:rPr>
          <w:rFonts w:ascii="Verdana" w:hAnsi="Verdana"/>
          <w:sz w:val="20"/>
          <w:lang w:eastAsia="en-US"/>
        </w:rPr>
        <w:t xml:space="preserve"> </w:t>
      </w:r>
      <w:r w:rsidR="00D21A6E">
        <w:rPr>
          <w:rFonts w:ascii="Verdana" w:hAnsi="Verdana"/>
          <w:sz w:val="20"/>
          <w:lang w:eastAsia="en-US"/>
        </w:rPr>
        <w:t xml:space="preserve">поддерживаемого высоким уровнем доходов населения и </w:t>
      </w:r>
      <w:r w:rsidR="00F4532A">
        <w:rPr>
          <w:rFonts w:ascii="Verdana" w:hAnsi="Verdana"/>
          <w:sz w:val="20"/>
          <w:lang w:eastAsia="en-US"/>
        </w:rPr>
        <w:t xml:space="preserve">бюджетным </w:t>
      </w:r>
      <w:r w:rsidR="00D21A6E">
        <w:rPr>
          <w:rFonts w:ascii="Verdana" w:hAnsi="Verdana"/>
          <w:sz w:val="20"/>
          <w:lang w:eastAsia="en-US"/>
        </w:rPr>
        <w:t>стимулировани</w:t>
      </w:r>
      <w:r w:rsidR="00F4532A">
        <w:rPr>
          <w:rFonts w:ascii="Verdana" w:hAnsi="Verdana"/>
          <w:sz w:val="20"/>
          <w:lang w:eastAsia="en-US"/>
        </w:rPr>
        <w:t>ем</w:t>
      </w:r>
      <w:r w:rsidR="00D21A6E">
        <w:rPr>
          <w:rFonts w:ascii="Verdana" w:hAnsi="Verdana"/>
          <w:sz w:val="20"/>
          <w:lang w:eastAsia="en-US"/>
        </w:rPr>
        <w:t xml:space="preserve">. </w:t>
      </w:r>
      <w:r w:rsidR="00FB6EAF">
        <w:rPr>
          <w:rFonts w:ascii="Verdana" w:hAnsi="Verdana"/>
          <w:sz w:val="20"/>
          <w:lang w:eastAsia="en-US"/>
        </w:rPr>
        <w:t xml:space="preserve">На прогнозном горизонте потребительская активность будет постепенно снижаться под влиянием </w:t>
      </w:r>
      <w:r w:rsidR="003B655F">
        <w:rPr>
          <w:rFonts w:ascii="Verdana" w:hAnsi="Verdana"/>
          <w:sz w:val="20"/>
          <w:lang w:eastAsia="en-US"/>
        </w:rPr>
        <w:t xml:space="preserve">жесткой денежно-кредитной политики. </w:t>
      </w:r>
    </w:p>
    <w:p w14:paraId="3B69AFF1" w14:textId="77777777" w:rsidR="00D21A6E" w:rsidRPr="004D67D8" w:rsidRDefault="00EC2098" w:rsidP="004D67D8">
      <w:pPr>
        <w:pStyle w:val="ArialRegular12pt"/>
        <w:spacing w:before="120" w:after="120" w:line="240" w:lineRule="auto"/>
        <w:rPr>
          <w:rFonts w:ascii="Verdana" w:hAnsi="Verdana"/>
          <w:sz w:val="20"/>
          <w:lang w:eastAsia="en-US"/>
        </w:rPr>
      </w:pPr>
      <w:r>
        <w:rPr>
          <w:rFonts w:ascii="Verdana" w:hAnsi="Verdana"/>
          <w:sz w:val="20"/>
          <w:lang w:eastAsia="en-US"/>
        </w:rPr>
        <w:t xml:space="preserve">Сохранение высокого роста спроса </w:t>
      </w:r>
      <w:r w:rsidR="00994879">
        <w:rPr>
          <w:rFonts w:ascii="Verdana" w:hAnsi="Verdana"/>
          <w:sz w:val="20"/>
          <w:lang w:eastAsia="en-US"/>
        </w:rPr>
        <w:t xml:space="preserve">со стороны </w:t>
      </w:r>
      <w:r>
        <w:rPr>
          <w:rFonts w:ascii="Verdana" w:hAnsi="Verdana"/>
          <w:sz w:val="20"/>
          <w:lang w:eastAsia="en-US"/>
        </w:rPr>
        <w:t xml:space="preserve">России и повышение заработных плат создали условия для </w:t>
      </w:r>
      <w:r w:rsidR="003B655F">
        <w:rPr>
          <w:rFonts w:ascii="Verdana" w:hAnsi="Verdana"/>
          <w:sz w:val="20"/>
          <w:lang w:eastAsia="en-US"/>
        </w:rPr>
        <w:t>улучшения</w:t>
      </w:r>
      <w:r>
        <w:rPr>
          <w:rFonts w:ascii="Verdana" w:hAnsi="Verdana"/>
          <w:sz w:val="20"/>
          <w:lang w:eastAsia="en-US"/>
        </w:rPr>
        <w:t xml:space="preserve"> прогноза для Беларуси до </w:t>
      </w:r>
      <w:r w:rsidR="00C66E2B">
        <w:rPr>
          <w:rFonts w:ascii="Verdana" w:hAnsi="Verdana"/>
          <w:sz w:val="20"/>
          <w:lang w:eastAsia="en-US"/>
        </w:rPr>
        <w:t>3</w:t>
      </w:r>
      <w:r>
        <w:rPr>
          <w:rFonts w:ascii="Verdana" w:hAnsi="Verdana"/>
          <w:sz w:val="20"/>
          <w:lang w:eastAsia="en-US"/>
        </w:rPr>
        <w:t>,4% в 2024 г.</w:t>
      </w:r>
      <w:r w:rsidR="003B655F">
        <w:rPr>
          <w:rFonts w:ascii="Verdana" w:hAnsi="Verdana"/>
          <w:sz w:val="20"/>
          <w:lang w:eastAsia="en-US"/>
        </w:rPr>
        <w:t xml:space="preserve"> </w:t>
      </w:r>
    </w:p>
    <w:p w14:paraId="608F7D93" w14:textId="5988DDFD" w:rsidR="00052B22" w:rsidRDefault="00EC2098" w:rsidP="004D67D8">
      <w:pPr>
        <w:pStyle w:val="ArialRegular12pt"/>
        <w:spacing w:before="120" w:after="120" w:line="240" w:lineRule="auto"/>
        <w:rPr>
          <w:rFonts w:ascii="Verdana" w:hAnsi="Verdana"/>
          <w:sz w:val="20"/>
          <w:lang w:eastAsia="en-US"/>
        </w:rPr>
      </w:pPr>
      <w:r w:rsidRPr="004D67D8">
        <w:rPr>
          <w:rFonts w:ascii="Verdana" w:hAnsi="Verdana"/>
          <w:sz w:val="20"/>
          <w:lang w:eastAsia="en-US"/>
        </w:rPr>
        <w:t>Аналитики ЕАБР прогнозируют дальнейшее замедление инфляционных процессов в регионе операций Банка: агрегированный показатель инфляции снизится до 5,</w:t>
      </w:r>
      <w:r w:rsidR="0019476E" w:rsidRPr="0019476E">
        <w:rPr>
          <w:rFonts w:ascii="Verdana" w:hAnsi="Verdana"/>
          <w:sz w:val="20"/>
          <w:lang w:eastAsia="en-US"/>
        </w:rPr>
        <w:t>8</w:t>
      </w:r>
      <w:r w:rsidRPr="004D67D8">
        <w:rPr>
          <w:rFonts w:ascii="Verdana" w:hAnsi="Verdana"/>
          <w:sz w:val="20"/>
          <w:lang w:eastAsia="en-US"/>
        </w:rPr>
        <w:t>% по итогам 2024 г</w:t>
      </w:r>
      <w:r w:rsidR="005B3975">
        <w:rPr>
          <w:rFonts w:ascii="Verdana" w:hAnsi="Verdana"/>
          <w:sz w:val="20"/>
          <w:lang w:eastAsia="en-US"/>
        </w:rPr>
        <w:t>.</w:t>
      </w:r>
      <w:r w:rsidRPr="004D67D8">
        <w:rPr>
          <w:rFonts w:ascii="Verdana" w:hAnsi="Verdana"/>
          <w:sz w:val="20"/>
          <w:lang w:eastAsia="en-US"/>
        </w:rPr>
        <w:t xml:space="preserve"> </w:t>
      </w:r>
      <w:r w:rsidR="00922160">
        <w:rPr>
          <w:rFonts w:ascii="Verdana" w:hAnsi="Verdana"/>
          <w:sz w:val="20"/>
          <w:lang w:eastAsia="en-US"/>
        </w:rPr>
        <w:t>с</w:t>
      </w:r>
      <w:r w:rsidRPr="004D67D8">
        <w:rPr>
          <w:rFonts w:ascii="Verdana" w:hAnsi="Verdana"/>
          <w:sz w:val="20"/>
          <w:lang w:eastAsia="en-US"/>
        </w:rPr>
        <w:t xml:space="preserve"> 7,</w:t>
      </w:r>
      <w:r w:rsidR="002E4E73">
        <w:rPr>
          <w:rFonts w:ascii="Verdana" w:hAnsi="Verdana"/>
          <w:sz w:val="20"/>
          <w:lang w:eastAsia="en-US"/>
        </w:rPr>
        <w:t>2</w:t>
      </w:r>
      <w:r w:rsidRPr="004D67D8">
        <w:rPr>
          <w:rFonts w:ascii="Verdana" w:hAnsi="Verdana"/>
          <w:sz w:val="20"/>
          <w:lang w:eastAsia="en-US"/>
        </w:rPr>
        <w:t xml:space="preserve">% в 2023 г. </w:t>
      </w:r>
      <w:r w:rsidR="003B655F" w:rsidRPr="003B655F">
        <w:rPr>
          <w:rFonts w:ascii="Verdana" w:hAnsi="Verdana"/>
          <w:sz w:val="20"/>
          <w:lang w:eastAsia="en-US"/>
        </w:rPr>
        <w:t>Инфляционная картина в регионе остается разнородной</w:t>
      </w:r>
      <w:r w:rsidR="003B655F">
        <w:rPr>
          <w:rFonts w:ascii="Verdana" w:hAnsi="Verdana"/>
          <w:sz w:val="20"/>
          <w:lang w:eastAsia="en-US"/>
        </w:rPr>
        <w:t xml:space="preserve">: в Армении сохраняется </w:t>
      </w:r>
      <w:r w:rsidR="00C1037C">
        <w:rPr>
          <w:rFonts w:ascii="Verdana" w:hAnsi="Verdana"/>
          <w:sz w:val="20"/>
          <w:lang w:eastAsia="en-US"/>
        </w:rPr>
        <w:t>низкая инфляция</w:t>
      </w:r>
      <w:bookmarkStart w:id="0" w:name="_GoBack"/>
      <w:bookmarkEnd w:id="0"/>
      <w:r w:rsidR="003B655F">
        <w:rPr>
          <w:rFonts w:ascii="Verdana" w:hAnsi="Verdana"/>
          <w:sz w:val="20"/>
          <w:lang w:eastAsia="en-US"/>
        </w:rPr>
        <w:t xml:space="preserve">, </w:t>
      </w:r>
      <w:r w:rsidR="00922160">
        <w:rPr>
          <w:rFonts w:ascii="Verdana" w:hAnsi="Verdana"/>
          <w:sz w:val="20"/>
          <w:lang w:eastAsia="en-US"/>
        </w:rPr>
        <w:t xml:space="preserve">а </w:t>
      </w:r>
      <w:r w:rsidR="003B655F" w:rsidRPr="003B655F">
        <w:rPr>
          <w:rFonts w:ascii="Verdana" w:hAnsi="Verdana"/>
          <w:sz w:val="20"/>
          <w:lang w:eastAsia="en-US"/>
        </w:rPr>
        <w:t xml:space="preserve">в Кыргызстане и Таджикистане инфляция </w:t>
      </w:r>
      <w:r w:rsidR="00AC67BF">
        <w:rPr>
          <w:rFonts w:ascii="Verdana" w:hAnsi="Verdana"/>
          <w:sz w:val="20"/>
          <w:lang w:eastAsia="en-US"/>
        </w:rPr>
        <w:t xml:space="preserve">может </w:t>
      </w:r>
      <w:r w:rsidR="003B655F" w:rsidRPr="003B655F">
        <w:rPr>
          <w:rFonts w:ascii="Verdana" w:hAnsi="Verdana"/>
          <w:sz w:val="20"/>
          <w:lang w:eastAsia="en-US"/>
        </w:rPr>
        <w:t>опусти</w:t>
      </w:r>
      <w:r w:rsidR="00AC67BF">
        <w:rPr>
          <w:rFonts w:ascii="Verdana" w:hAnsi="Verdana"/>
          <w:sz w:val="20"/>
          <w:lang w:eastAsia="en-US"/>
        </w:rPr>
        <w:t>ться</w:t>
      </w:r>
      <w:r w:rsidR="003B655F" w:rsidRPr="003B655F">
        <w:rPr>
          <w:rFonts w:ascii="Verdana" w:hAnsi="Verdana"/>
          <w:sz w:val="20"/>
          <w:lang w:eastAsia="en-US"/>
        </w:rPr>
        <w:t xml:space="preserve"> за пределы нижней границы целевого ориентира</w:t>
      </w:r>
      <w:r w:rsidRPr="004D67D8">
        <w:rPr>
          <w:rFonts w:ascii="Verdana" w:hAnsi="Verdana"/>
          <w:sz w:val="20"/>
          <w:lang w:eastAsia="en-US"/>
        </w:rPr>
        <w:t>.</w:t>
      </w:r>
      <w:r w:rsidR="003B655F" w:rsidRPr="003B655F">
        <w:rPr>
          <w:rFonts w:ascii="Verdana" w:hAnsi="Verdana"/>
          <w:sz w:val="20"/>
          <w:lang w:eastAsia="en-US"/>
        </w:rPr>
        <w:t xml:space="preserve"> </w:t>
      </w:r>
    </w:p>
    <w:p w14:paraId="7BD1661D" w14:textId="16BB8687" w:rsidR="004D67D8" w:rsidRPr="004D67D8" w:rsidRDefault="00EC2098" w:rsidP="004D67D8">
      <w:pPr>
        <w:pStyle w:val="ArialRegular12pt"/>
        <w:spacing w:before="120" w:after="120" w:line="240" w:lineRule="auto"/>
        <w:rPr>
          <w:rFonts w:ascii="Verdana" w:hAnsi="Verdana"/>
          <w:sz w:val="20"/>
          <w:lang w:eastAsia="en-US"/>
        </w:rPr>
      </w:pPr>
      <w:r w:rsidRPr="003B655F">
        <w:rPr>
          <w:rFonts w:ascii="Verdana" w:hAnsi="Verdana"/>
          <w:sz w:val="20"/>
          <w:lang w:eastAsia="en-US"/>
        </w:rPr>
        <w:t>В то же время Россия и Казахстан продолжают испытывать повышенное инфляционное давление.</w:t>
      </w:r>
      <w:r w:rsidR="00E71E36" w:rsidRPr="004D67D8">
        <w:rPr>
          <w:rFonts w:ascii="Verdana" w:hAnsi="Verdana"/>
          <w:sz w:val="20"/>
          <w:lang w:eastAsia="en-US"/>
        </w:rPr>
        <w:t xml:space="preserve"> Аналитики Банка ожидаю</w:t>
      </w:r>
      <w:r>
        <w:rPr>
          <w:rFonts w:ascii="Verdana" w:hAnsi="Verdana"/>
          <w:sz w:val="20"/>
          <w:lang w:eastAsia="en-US"/>
        </w:rPr>
        <w:t>т постепенного движения темпов роста цен к целевы</w:t>
      </w:r>
      <w:r w:rsidR="00994879">
        <w:rPr>
          <w:rFonts w:ascii="Verdana" w:hAnsi="Verdana"/>
          <w:sz w:val="20"/>
          <w:lang w:eastAsia="en-US"/>
        </w:rPr>
        <w:t>м</w:t>
      </w:r>
      <w:r>
        <w:rPr>
          <w:rFonts w:ascii="Verdana" w:hAnsi="Verdana"/>
          <w:sz w:val="20"/>
          <w:lang w:eastAsia="en-US"/>
        </w:rPr>
        <w:t xml:space="preserve"> ориентир</w:t>
      </w:r>
      <w:r w:rsidR="00994879">
        <w:rPr>
          <w:rFonts w:ascii="Verdana" w:hAnsi="Verdana"/>
          <w:sz w:val="20"/>
          <w:lang w:eastAsia="en-US"/>
        </w:rPr>
        <w:t>ам</w:t>
      </w:r>
      <w:r>
        <w:rPr>
          <w:rFonts w:ascii="Verdana" w:hAnsi="Verdana"/>
          <w:sz w:val="20"/>
          <w:lang w:eastAsia="en-US"/>
        </w:rPr>
        <w:t xml:space="preserve">: </w:t>
      </w:r>
      <w:r w:rsidR="00E71E36" w:rsidRPr="004D67D8">
        <w:rPr>
          <w:rFonts w:ascii="Verdana" w:hAnsi="Verdana"/>
          <w:sz w:val="20"/>
          <w:lang w:eastAsia="en-US"/>
        </w:rPr>
        <w:t xml:space="preserve">в Армении </w:t>
      </w:r>
      <w:r w:rsidR="00994879">
        <w:rPr>
          <w:rFonts w:ascii="Verdana" w:hAnsi="Verdana"/>
          <w:sz w:val="20"/>
          <w:lang w:eastAsia="en-US"/>
        </w:rPr>
        <w:t>инфляция</w:t>
      </w:r>
      <w:r w:rsidR="00E71E36" w:rsidRPr="004D67D8">
        <w:rPr>
          <w:rFonts w:ascii="Verdana" w:hAnsi="Verdana"/>
          <w:sz w:val="20"/>
          <w:lang w:eastAsia="en-US"/>
        </w:rPr>
        <w:t xml:space="preserve"> </w:t>
      </w:r>
      <w:r>
        <w:rPr>
          <w:rFonts w:ascii="Verdana" w:hAnsi="Verdana"/>
          <w:sz w:val="20"/>
          <w:lang w:eastAsia="en-US"/>
        </w:rPr>
        <w:t>прогнозиру</w:t>
      </w:r>
      <w:r w:rsidR="00922160">
        <w:rPr>
          <w:rFonts w:ascii="Verdana" w:hAnsi="Verdana"/>
          <w:sz w:val="20"/>
          <w:lang w:eastAsia="en-US"/>
        </w:rPr>
        <w:t>ю</w:t>
      </w:r>
      <w:r>
        <w:rPr>
          <w:rFonts w:ascii="Verdana" w:hAnsi="Verdana"/>
          <w:sz w:val="20"/>
          <w:lang w:eastAsia="en-US"/>
        </w:rPr>
        <w:t xml:space="preserve">тся </w:t>
      </w:r>
      <w:r w:rsidR="00E71E36" w:rsidRPr="004D67D8">
        <w:rPr>
          <w:rFonts w:ascii="Verdana" w:hAnsi="Verdana"/>
          <w:sz w:val="20"/>
          <w:lang w:eastAsia="en-US"/>
        </w:rPr>
        <w:t xml:space="preserve">на уровне </w:t>
      </w:r>
      <w:r>
        <w:rPr>
          <w:rFonts w:ascii="Verdana" w:hAnsi="Verdana"/>
          <w:sz w:val="20"/>
          <w:lang w:eastAsia="en-US"/>
        </w:rPr>
        <w:t>1,5</w:t>
      </w:r>
      <w:r w:rsidR="00E71E36" w:rsidRPr="004D67D8">
        <w:rPr>
          <w:rFonts w:ascii="Verdana" w:hAnsi="Verdana"/>
          <w:sz w:val="20"/>
          <w:lang w:eastAsia="en-US"/>
        </w:rPr>
        <w:t>% в 2024 г</w:t>
      </w:r>
      <w:r w:rsidR="005B3975">
        <w:rPr>
          <w:rFonts w:ascii="Verdana" w:hAnsi="Verdana"/>
          <w:sz w:val="20"/>
          <w:lang w:eastAsia="en-US"/>
        </w:rPr>
        <w:t>.</w:t>
      </w:r>
      <w:r w:rsidR="00E71E36" w:rsidRPr="004D67D8">
        <w:rPr>
          <w:rFonts w:ascii="Verdana" w:hAnsi="Verdana"/>
          <w:sz w:val="20"/>
          <w:lang w:eastAsia="en-US"/>
        </w:rPr>
        <w:t xml:space="preserve">, в Беларуси — </w:t>
      </w:r>
      <w:r w:rsidR="000B32D4">
        <w:rPr>
          <w:rFonts w:ascii="Verdana" w:hAnsi="Verdana"/>
          <w:sz w:val="20"/>
          <w:lang w:eastAsia="en-US"/>
        </w:rPr>
        <w:t>6</w:t>
      </w:r>
      <w:r w:rsidR="00E71E36" w:rsidRPr="004D67D8">
        <w:rPr>
          <w:rFonts w:ascii="Verdana" w:hAnsi="Verdana"/>
          <w:sz w:val="20"/>
          <w:lang w:eastAsia="en-US"/>
        </w:rPr>
        <w:t xml:space="preserve">%, в Казахстане — </w:t>
      </w:r>
      <w:r w:rsidR="00AC67BF">
        <w:rPr>
          <w:rFonts w:ascii="Verdana" w:hAnsi="Verdana"/>
          <w:sz w:val="20"/>
          <w:lang w:eastAsia="en-US"/>
        </w:rPr>
        <w:t>8</w:t>
      </w:r>
      <w:r w:rsidR="00E71E36" w:rsidRPr="004D67D8">
        <w:rPr>
          <w:rFonts w:ascii="Verdana" w:hAnsi="Verdana"/>
          <w:sz w:val="20"/>
          <w:lang w:eastAsia="en-US"/>
        </w:rPr>
        <w:t>,</w:t>
      </w:r>
      <w:r w:rsidR="00AC67BF">
        <w:rPr>
          <w:rFonts w:ascii="Verdana" w:hAnsi="Verdana"/>
          <w:sz w:val="20"/>
          <w:lang w:eastAsia="en-US"/>
        </w:rPr>
        <w:t>3</w:t>
      </w:r>
      <w:r w:rsidR="00E71E36" w:rsidRPr="004D67D8">
        <w:rPr>
          <w:rFonts w:ascii="Verdana" w:hAnsi="Verdana"/>
          <w:sz w:val="20"/>
          <w:lang w:eastAsia="en-US"/>
        </w:rPr>
        <w:t xml:space="preserve">%, в </w:t>
      </w:r>
      <w:proofErr w:type="spellStart"/>
      <w:r w:rsidR="00E71E36" w:rsidRPr="004D67D8">
        <w:rPr>
          <w:rFonts w:ascii="Verdana" w:hAnsi="Verdana"/>
          <w:sz w:val="20"/>
          <w:lang w:eastAsia="en-US"/>
        </w:rPr>
        <w:t>Кыргызс</w:t>
      </w:r>
      <w:r w:rsidR="008A280E">
        <w:rPr>
          <w:rFonts w:ascii="Verdana" w:hAnsi="Verdana"/>
          <w:sz w:val="20"/>
          <w:lang w:eastAsia="en-US"/>
        </w:rPr>
        <w:t>кой</w:t>
      </w:r>
      <w:proofErr w:type="spellEnd"/>
      <w:r w:rsidR="008A280E">
        <w:rPr>
          <w:rFonts w:ascii="Verdana" w:hAnsi="Verdana"/>
          <w:sz w:val="20"/>
          <w:lang w:eastAsia="en-US"/>
        </w:rPr>
        <w:t xml:space="preserve"> Республике</w:t>
      </w:r>
      <w:r w:rsidR="00E71E36" w:rsidRPr="004D67D8">
        <w:rPr>
          <w:rFonts w:ascii="Verdana" w:hAnsi="Verdana"/>
          <w:sz w:val="20"/>
          <w:lang w:eastAsia="en-US"/>
        </w:rPr>
        <w:t xml:space="preserve"> — </w:t>
      </w:r>
      <w:r w:rsidR="00AD19ED" w:rsidRPr="0041485A">
        <w:rPr>
          <w:rFonts w:ascii="Verdana" w:hAnsi="Verdana"/>
          <w:sz w:val="20"/>
          <w:lang w:eastAsia="en-US"/>
        </w:rPr>
        <w:t>4</w:t>
      </w:r>
      <w:r w:rsidR="00F85479">
        <w:rPr>
          <w:rFonts w:ascii="Verdana" w:hAnsi="Verdana"/>
          <w:sz w:val="20"/>
          <w:lang w:eastAsia="en-US"/>
        </w:rPr>
        <w:t>,</w:t>
      </w:r>
      <w:r w:rsidR="00AD19ED" w:rsidRPr="0041485A">
        <w:rPr>
          <w:rFonts w:ascii="Verdana" w:hAnsi="Verdana"/>
          <w:sz w:val="20"/>
          <w:lang w:eastAsia="en-US"/>
        </w:rPr>
        <w:t>3</w:t>
      </w:r>
      <w:r w:rsidR="00E71E36" w:rsidRPr="004D67D8">
        <w:rPr>
          <w:rFonts w:ascii="Verdana" w:hAnsi="Verdana"/>
          <w:sz w:val="20"/>
          <w:lang w:eastAsia="en-US"/>
        </w:rPr>
        <w:t>%, в России — 5,</w:t>
      </w:r>
      <w:r w:rsidR="00C66E2B">
        <w:rPr>
          <w:rFonts w:ascii="Verdana" w:hAnsi="Verdana"/>
          <w:sz w:val="20"/>
          <w:lang w:eastAsia="en-US"/>
        </w:rPr>
        <w:t>8</w:t>
      </w:r>
      <w:r w:rsidR="00E71E36" w:rsidRPr="004D67D8">
        <w:rPr>
          <w:rFonts w:ascii="Verdana" w:hAnsi="Verdana"/>
          <w:sz w:val="20"/>
          <w:lang w:eastAsia="en-US"/>
        </w:rPr>
        <w:t xml:space="preserve">%, в Таджикистане — </w:t>
      </w:r>
      <w:r w:rsidR="00F85479">
        <w:rPr>
          <w:rFonts w:ascii="Verdana" w:hAnsi="Verdana"/>
          <w:sz w:val="20"/>
          <w:lang w:eastAsia="en-US"/>
        </w:rPr>
        <w:t>4,1</w:t>
      </w:r>
      <w:r w:rsidR="00E71E36" w:rsidRPr="004D67D8">
        <w:rPr>
          <w:rFonts w:ascii="Verdana" w:hAnsi="Verdana"/>
          <w:sz w:val="20"/>
          <w:lang w:eastAsia="en-US"/>
        </w:rPr>
        <w:t>%.</w:t>
      </w:r>
    </w:p>
    <w:p w14:paraId="2B474E16" w14:textId="77777777" w:rsidR="004D67D8" w:rsidRPr="004D67D8" w:rsidRDefault="00EC2098" w:rsidP="004D67D8">
      <w:pPr>
        <w:spacing w:after="120" w:line="240" w:lineRule="auto"/>
        <w:jc w:val="both"/>
        <w:rPr>
          <w:rFonts w:ascii="Verdana" w:hAnsi="Verdana"/>
          <w:sz w:val="20"/>
          <w:szCs w:val="20"/>
        </w:rPr>
      </w:pPr>
      <w:r>
        <w:rPr>
          <w:rFonts w:ascii="Verdana" w:hAnsi="Verdana"/>
          <w:sz w:val="20"/>
          <w:szCs w:val="20"/>
        </w:rPr>
        <w:t xml:space="preserve">Несмотря на снижение инфляции, сохранение инфляционных рисков в крупных экономиках региона ЕАБР будет формировать </w:t>
      </w:r>
      <w:r w:rsidR="00C536EA">
        <w:rPr>
          <w:rFonts w:ascii="Verdana" w:hAnsi="Verdana"/>
          <w:sz w:val="20"/>
          <w:szCs w:val="20"/>
        </w:rPr>
        <w:t xml:space="preserve">осторожное </w:t>
      </w:r>
      <w:r>
        <w:rPr>
          <w:rFonts w:ascii="Verdana" w:hAnsi="Verdana"/>
          <w:sz w:val="20"/>
          <w:szCs w:val="20"/>
        </w:rPr>
        <w:t>отношение регуляторов к смягчению денежно-кредитной политики</w:t>
      </w:r>
      <w:r w:rsidR="00E71E36" w:rsidRPr="004D67D8">
        <w:rPr>
          <w:rFonts w:ascii="Verdana" w:hAnsi="Verdana"/>
          <w:sz w:val="20"/>
          <w:szCs w:val="20"/>
        </w:rPr>
        <w:t xml:space="preserve"> в 2024 г. Аналитики ЕАБР ожидают, что </w:t>
      </w:r>
      <w:r>
        <w:rPr>
          <w:rFonts w:ascii="Verdana" w:hAnsi="Verdana"/>
          <w:sz w:val="20"/>
          <w:szCs w:val="20"/>
        </w:rPr>
        <w:t>базовая ставка в</w:t>
      </w:r>
      <w:r w:rsidR="00E71E36" w:rsidRPr="004D67D8">
        <w:rPr>
          <w:rFonts w:ascii="Verdana" w:hAnsi="Verdana"/>
          <w:sz w:val="20"/>
          <w:szCs w:val="20"/>
        </w:rPr>
        <w:t xml:space="preserve"> Казахстан</w:t>
      </w:r>
      <w:r>
        <w:rPr>
          <w:rFonts w:ascii="Verdana" w:hAnsi="Verdana"/>
          <w:sz w:val="20"/>
          <w:szCs w:val="20"/>
        </w:rPr>
        <w:t>е</w:t>
      </w:r>
      <w:r w:rsidR="00E71E36" w:rsidRPr="004D67D8">
        <w:rPr>
          <w:rFonts w:ascii="Verdana" w:hAnsi="Verdana"/>
          <w:sz w:val="20"/>
          <w:szCs w:val="20"/>
        </w:rPr>
        <w:t xml:space="preserve"> </w:t>
      </w:r>
      <w:r w:rsidRPr="00F85479">
        <w:rPr>
          <w:rFonts w:ascii="Verdana" w:hAnsi="Verdana"/>
          <w:sz w:val="20"/>
          <w:szCs w:val="20"/>
        </w:rPr>
        <w:t>вс</w:t>
      </w:r>
      <w:r w:rsidR="00B044C7">
        <w:rPr>
          <w:rFonts w:ascii="Verdana" w:hAnsi="Verdana"/>
          <w:sz w:val="20"/>
          <w:szCs w:val="20"/>
        </w:rPr>
        <w:t>е еще будет находиться выше 13</w:t>
      </w:r>
      <w:r w:rsidRPr="00F85479">
        <w:rPr>
          <w:rFonts w:ascii="Verdana" w:hAnsi="Verdana"/>
          <w:sz w:val="20"/>
          <w:szCs w:val="20"/>
        </w:rPr>
        <w:t>% в конце 2024 г.</w:t>
      </w:r>
      <w:r w:rsidR="00E71E36" w:rsidRPr="004D67D8">
        <w:rPr>
          <w:rFonts w:ascii="Verdana" w:hAnsi="Verdana"/>
          <w:sz w:val="20"/>
          <w:szCs w:val="20"/>
        </w:rPr>
        <w:t xml:space="preserve"> Банк России перейдет к циклу снижения став</w:t>
      </w:r>
      <w:r w:rsidR="00142D7E">
        <w:rPr>
          <w:rFonts w:ascii="Verdana" w:hAnsi="Verdana"/>
          <w:sz w:val="20"/>
          <w:szCs w:val="20"/>
        </w:rPr>
        <w:t>ки</w:t>
      </w:r>
      <w:r w:rsidR="00E71E36" w:rsidRPr="004D67D8">
        <w:rPr>
          <w:rFonts w:ascii="Verdana" w:hAnsi="Verdana"/>
          <w:sz w:val="20"/>
          <w:szCs w:val="20"/>
        </w:rPr>
        <w:t xml:space="preserve"> </w:t>
      </w:r>
      <w:r w:rsidR="00B044C7">
        <w:rPr>
          <w:rFonts w:ascii="Verdana" w:hAnsi="Verdana"/>
          <w:sz w:val="20"/>
          <w:szCs w:val="20"/>
        </w:rPr>
        <w:t>в этом году и на конец года она</w:t>
      </w:r>
      <w:r w:rsidR="00C536EA">
        <w:rPr>
          <w:rFonts w:ascii="Verdana" w:hAnsi="Verdana"/>
          <w:sz w:val="20"/>
          <w:szCs w:val="20"/>
        </w:rPr>
        <w:t xml:space="preserve"> опустится </w:t>
      </w:r>
      <w:r w:rsidR="00B044C7">
        <w:rPr>
          <w:rFonts w:ascii="Verdana" w:hAnsi="Verdana"/>
          <w:sz w:val="20"/>
          <w:szCs w:val="20"/>
        </w:rPr>
        <w:t>до</w:t>
      </w:r>
      <w:r w:rsidR="00C536EA">
        <w:rPr>
          <w:rFonts w:ascii="Verdana" w:hAnsi="Verdana"/>
          <w:sz w:val="20"/>
          <w:szCs w:val="20"/>
        </w:rPr>
        <w:t xml:space="preserve"> </w:t>
      </w:r>
      <w:r w:rsidR="00BB527E">
        <w:rPr>
          <w:rFonts w:ascii="Verdana" w:hAnsi="Verdana"/>
          <w:sz w:val="20"/>
          <w:szCs w:val="20"/>
        </w:rPr>
        <w:t>1</w:t>
      </w:r>
      <w:r w:rsidR="0019476E">
        <w:rPr>
          <w:rFonts w:ascii="Verdana" w:hAnsi="Verdana"/>
          <w:sz w:val="20"/>
          <w:szCs w:val="20"/>
        </w:rPr>
        <w:t>5</w:t>
      </w:r>
      <w:r w:rsidR="00E71E36" w:rsidRPr="004D67D8">
        <w:rPr>
          <w:rFonts w:ascii="Verdana" w:hAnsi="Verdana"/>
          <w:sz w:val="20"/>
          <w:szCs w:val="20"/>
        </w:rPr>
        <w:t xml:space="preserve">% годовых. </w:t>
      </w:r>
    </w:p>
    <w:p w14:paraId="698B7D07" w14:textId="77777777" w:rsidR="004D67D8" w:rsidRPr="004D67D8" w:rsidRDefault="00EC2098" w:rsidP="004D67D8">
      <w:pPr>
        <w:pStyle w:val="ArialRegular12pt"/>
        <w:spacing w:before="120" w:after="120" w:line="240" w:lineRule="auto"/>
        <w:rPr>
          <w:rFonts w:ascii="Verdana" w:hAnsi="Verdana"/>
          <w:b/>
          <w:color w:val="0032AF"/>
          <w:sz w:val="20"/>
        </w:rPr>
      </w:pPr>
      <w:r w:rsidRPr="004D67D8">
        <w:rPr>
          <w:rFonts w:ascii="Verdana" w:hAnsi="Verdana"/>
          <w:b/>
          <w:color w:val="0032AF"/>
          <w:sz w:val="20"/>
        </w:rPr>
        <w:t>Прогноз ЕАБР. Основные макроэкономические показатели государств — участников Банка (базовый сценарий)</w:t>
      </w:r>
    </w:p>
    <w:p w14:paraId="274869FC" w14:textId="77777777" w:rsidR="00475785" w:rsidRDefault="00EC2098" w:rsidP="004D67D8">
      <w:pPr>
        <w:spacing w:after="0" w:line="240" w:lineRule="auto"/>
        <w:jc w:val="both"/>
        <w:rPr>
          <w:sz w:val="20"/>
          <w:szCs w:val="20"/>
          <w:lang w:eastAsia="ru-RU"/>
        </w:rPr>
      </w:pPr>
      <w:r>
        <w:fldChar w:fldCharType="begin"/>
      </w:r>
      <w:r>
        <w:instrText xml:space="preserve"> LINK Excel.Sheet.12 "Книга2" "Лист1!R3C1:R35C6" \a \f 4 \h </w:instrText>
      </w:r>
      <w:r w:rsidR="006760CA">
        <w:instrText xml:space="preserve"> \* MERGEFORMAT </w:instrText>
      </w:r>
      <w:r>
        <w:fldChar w:fldCharType="separate"/>
      </w:r>
    </w:p>
    <w:tbl>
      <w:tblPr>
        <w:tblW w:w="9220" w:type="dxa"/>
        <w:tblLook w:val="04A0" w:firstRow="1" w:lastRow="0" w:firstColumn="1" w:lastColumn="0" w:noHBand="0" w:noVBand="1"/>
      </w:tblPr>
      <w:tblGrid>
        <w:gridCol w:w="4420"/>
        <w:gridCol w:w="960"/>
        <w:gridCol w:w="960"/>
        <w:gridCol w:w="960"/>
        <w:gridCol w:w="960"/>
        <w:gridCol w:w="960"/>
      </w:tblGrid>
      <w:tr w:rsidR="009F2941" w14:paraId="5D1ABA25" w14:textId="77777777" w:rsidTr="00475785">
        <w:trPr>
          <w:trHeight w:val="290"/>
        </w:trPr>
        <w:tc>
          <w:tcPr>
            <w:tcW w:w="4420" w:type="dxa"/>
            <w:tcBorders>
              <w:top w:val="nil"/>
              <w:left w:val="nil"/>
              <w:bottom w:val="nil"/>
              <w:right w:val="nil"/>
            </w:tcBorders>
            <w:shd w:val="clear" w:color="000000" w:fill="0032AF"/>
            <w:vAlign w:val="center"/>
            <w:hideMark/>
          </w:tcPr>
          <w:p w14:paraId="2016A65D" w14:textId="77777777" w:rsidR="00475785" w:rsidRPr="00475785" w:rsidRDefault="00EC2098" w:rsidP="00475785">
            <w:pPr>
              <w:spacing w:after="0" w:line="240" w:lineRule="auto"/>
              <w:jc w:val="center"/>
              <w:rPr>
                <w:rFonts w:ascii="Verdana" w:eastAsia="Times New Roman" w:hAnsi="Verdana" w:cs="Calibri"/>
                <w:b/>
                <w:bCs/>
                <w:color w:val="FFFFFF"/>
                <w:sz w:val="20"/>
                <w:szCs w:val="20"/>
                <w:lang w:eastAsia="ru-RU"/>
              </w:rPr>
            </w:pPr>
            <w:r w:rsidRPr="00475785">
              <w:rPr>
                <w:rFonts w:ascii="Verdana" w:eastAsia="Times New Roman" w:hAnsi="Verdana" w:cs="Calibri"/>
                <w:b/>
                <w:bCs/>
                <w:color w:val="FFFFFF"/>
                <w:sz w:val="20"/>
                <w:szCs w:val="20"/>
                <w:lang w:eastAsia="ru-RU"/>
              </w:rPr>
              <w:t>Показатель</w:t>
            </w:r>
          </w:p>
        </w:tc>
        <w:tc>
          <w:tcPr>
            <w:tcW w:w="960" w:type="dxa"/>
            <w:tcBorders>
              <w:top w:val="nil"/>
              <w:left w:val="nil"/>
              <w:bottom w:val="nil"/>
              <w:right w:val="nil"/>
            </w:tcBorders>
            <w:shd w:val="clear" w:color="000000" w:fill="0032AF"/>
            <w:vAlign w:val="center"/>
            <w:hideMark/>
          </w:tcPr>
          <w:p w14:paraId="1FF91202" w14:textId="77777777" w:rsidR="00475785" w:rsidRPr="00475785" w:rsidRDefault="00EC2098" w:rsidP="00475785">
            <w:pPr>
              <w:spacing w:after="0" w:line="240" w:lineRule="auto"/>
              <w:jc w:val="center"/>
              <w:rPr>
                <w:rFonts w:ascii="Verdana" w:eastAsia="Times New Roman" w:hAnsi="Verdana" w:cs="Calibri"/>
                <w:b/>
                <w:bCs/>
                <w:color w:val="FFFFFF"/>
                <w:sz w:val="20"/>
                <w:szCs w:val="20"/>
                <w:lang w:eastAsia="ru-RU"/>
              </w:rPr>
            </w:pPr>
            <w:r w:rsidRPr="00475785">
              <w:rPr>
                <w:rFonts w:ascii="Verdana" w:eastAsia="Times New Roman" w:hAnsi="Verdana" w:cs="Calibri"/>
                <w:b/>
                <w:bCs/>
                <w:color w:val="FFFFFF"/>
                <w:sz w:val="20"/>
                <w:szCs w:val="20"/>
                <w:lang w:eastAsia="ru-RU"/>
              </w:rPr>
              <w:t>2022</w:t>
            </w:r>
          </w:p>
        </w:tc>
        <w:tc>
          <w:tcPr>
            <w:tcW w:w="960" w:type="dxa"/>
            <w:tcBorders>
              <w:top w:val="nil"/>
              <w:left w:val="nil"/>
              <w:bottom w:val="nil"/>
              <w:right w:val="nil"/>
            </w:tcBorders>
            <w:shd w:val="clear" w:color="000000" w:fill="0032AF"/>
            <w:vAlign w:val="center"/>
            <w:hideMark/>
          </w:tcPr>
          <w:p w14:paraId="3134907F" w14:textId="77777777" w:rsidR="00475785" w:rsidRPr="00475785" w:rsidRDefault="00EC2098" w:rsidP="00475785">
            <w:pPr>
              <w:spacing w:after="0" w:line="240" w:lineRule="auto"/>
              <w:jc w:val="center"/>
              <w:rPr>
                <w:rFonts w:ascii="Verdana" w:eastAsia="Times New Roman" w:hAnsi="Verdana" w:cs="Calibri"/>
                <w:b/>
                <w:bCs/>
                <w:color w:val="FFFFFF"/>
                <w:sz w:val="20"/>
                <w:szCs w:val="20"/>
                <w:lang w:eastAsia="ru-RU"/>
              </w:rPr>
            </w:pPr>
            <w:r w:rsidRPr="00475785">
              <w:rPr>
                <w:rFonts w:ascii="Verdana" w:eastAsia="Times New Roman" w:hAnsi="Verdana" w:cs="Calibri"/>
                <w:b/>
                <w:bCs/>
                <w:color w:val="FFFFFF"/>
                <w:sz w:val="20"/>
                <w:szCs w:val="20"/>
                <w:lang w:eastAsia="ru-RU"/>
              </w:rPr>
              <w:t>2023</w:t>
            </w:r>
          </w:p>
        </w:tc>
        <w:tc>
          <w:tcPr>
            <w:tcW w:w="960" w:type="dxa"/>
            <w:tcBorders>
              <w:top w:val="nil"/>
              <w:left w:val="nil"/>
              <w:bottom w:val="nil"/>
              <w:right w:val="nil"/>
            </w:tcBorders>
            <w:shd w:val="clear" w:color="000000" w:fill="0032AF"/>
            <w:vAlign w:val="center"/>
            <w:hideMark/>
          </w:tcPr>
          <w:p w14:paraId="489833B3" w14:textId="77777777" w:rsidR="00475785" w:rsidRPr="00475785" w:rsidRDefault="00EC2098" w:rsidP="00475785">
            <w:pPr>
              <w:spacing w:after="0" w:line="240" w:lineRule="auto"/>
              <w:jc w:val="center"/>
              <w:rPr>
                <w:rFonts w:ascii="Verdana" w:eastAsia="Times New Roman" w:hAnsi="Verdana" w:cs="Calibri"/>
                <w:b/>
                <w:bCs/>
                <w:color w:val="FFFFFF"/>
                <w:sz w:val="20"/>
                <w:szCs w:val="20"/>
                <w:lang w:eastAsia="ru-RU"/>
              </w:rPr>
            </w:pPr>
            <w:r w:rsidRPr="00475785">
              <w:rPr>
                <w:rFonts w:ascii="Verdana" w:eastAsia="Times New Roman" w:hAnsi="Verdana" w:cs="Calibri"/>
                <w:b/>
                <w:bCs/>
                <w:color w:val="FFFFFF"/>
                <w:sz w:val="20"/>
                <w:szCs w:val="20"/>
                <w:lang w:eastAsia="ru-RU"/>
              </w:rPr>
              <w:t>2024П</w:t>
            </w:r>
          </w:p>
        </w:tc>
        <w:tc>
          <w:tcPr>
            <w:tcW w:w="960" w:type="dxa"/>
            <w:tcBorders>
              <w:top w:val="nil"/>
              <w:left w:val="nil"/>
              <w:bottom w:val="nil"/>
              <w:right w:val="nil"/>
            </w:tcBorders>
            <w:shd w:val="clear" w:color="000000" w:fill="0032AF"/>
            <w:vAlign w:val="center"/>
            <w:hideMark/>
          </w:tcPr>
          <w:p w14:paraId="12043285" w14:textId="77777777" w:rsidR="00475785" w:rsidRPr="00475785" w:rsidRDefault="00EC2098" w:rsidP="00475785">
            <w:pPr>
              <w:spacing w:after="0" w:line="240" w:lineRule="auto"/>
              <w:jc w:val="center"/>
              <w:rPr>
                <w:rFonts w:ascii="Verdana" w:eastAsia="Times New Roman" w:hAnsi="Verdana" w:cs="Calibri"/>
                <w:b/>
                <w:bCs/>
                <w:color w:val="FFFFFF"/>
                <w:sz w:val="20"/>
                <w:szCs w:val="20"/>
                <w:lang w:eastAsia="ru-RU"/>
              </w:rPr>
            </w:pPr>
            <w:r w:rsidRPr="00475785">
              <w:rPr>
                <w:rFonts w:ascii="Verdana" w:eastAsia="Times New Roman" w:hAnsi="Verdana" w:cs="Calibri"/>
                <w:b/>
                <w:bCs/>
                <w:color w:val="FFFFFF"/>
                <w:sz w:val="20"/>
                <w:szCs w:val="20"/>
                <w:lang w:eastAsia="ru-RU"/>
              </w:rPr>
              <w:t>2025П</w:t>
            </w:r>
          </w:p>
        </w:tc>
        <w:tc>
          <w:tcPr>
            <w:tcW w:w="960" w:type="dxa"/>
            <w:tcBorders>
              <w:top w:val="nil"/>
              <w:left w:val="nil"/>
              <w:bottom w:val="nil"/>
              <w:right w:val="nil"/>
            </w:tcBorders>
            <w:shd w:val="clear" w:color="000000" w:fill="0032AF"/>
            <w:vAlign w:val="center"/>
            <w:hideMark/>
          </w:tcPr>
          <w:p w14:paraId="4612DFA6" w14:textId="77777777" w:rsidR="00475785" w:rsidRPr="00475785" w:rsidRDefault="00EC2098" w:rsidP="00475785">
            <w:pPr>
              <w:spacing w:after="0" w:line="240" w:lineRule="auto"/>
              <w:jc w:val="center"/>
              <w:rPr>
                <w:rFonts w:ascii="Verdana" w:eastAsia="Times New Roman" w:hAnsi="Verdana" w:cs="Calibri"/>
                <w:b/>
                <w:bCs/>
                <w:color w:val="FFFFFF"/>
                <w:sz w:val="20"/>
                <w:szCs w:val="20"/>
                <w:lang w:eastAsia="ru-RU"/>
              </w:rPr>
            </w:pPr>
            <w:r w:rsidRPr="00475785">
              <w:rPr>
                <w:rFonts w:ascii="Verdana" w:eastAsia="Times New Roman" w:hAnsi="Verdana" w:cs="Calibri"/>
                <w:b/>
                <w:bCs/>
                <w:color w:val="FFFFFF"/>
                <w:sz w:val="20"/>
                <w:szCs w:val="20"/>
                <w:lang w:eastAsia="ru-RU"/>
              </w:rPr>
              <w:t>2026П</w:t>
            </w:r>
          </w:p>
        </w:tc>
      </w:tr>
      <w:tr w:rsidR="009F2941" w14:paraId="290A4D37" w14:textId="77777777" w:rsidTr="00475785">
        <w:trPr>
          <w:trHeight w:val="290"/>
        </w:trPr>
        <w:tc>
          <w:tcPr>
            <w:tcW w:w="8260" w:type="dxa"/>
            <w:gridSpan w:val="5"/>
            <w:tcBorders>
              <w:top w:val="nil"/>
              <w:left w:val="nil"/>
              <w:bottom w:val="nil"/>
              <w:right w:val="nil"/>
            </w:tcBorders>
            <w:shd w:val="clear" w:color="000000" w:fill="CBCDE3"/>
            <w:vAlign w:val="center"/>
            <w:hideMark/>
          </w:tcPr>
          <w:p w14:paraId="65640B49" w14:textId="77777777" w:rsidR="00475785" w:rsidRPr="00475785" w:rsidRDefault="00EC2098" w:rsidP="00475785">
            <w:pPr>
              <w:spacing w:after="0" w:line="240" w:lineRule="auto"/>
              <w:jc w:val="center"/>
              <w:rPr>
                <w:rFonts w:ascii="Verdana" w:eastAsia="Times New Roman" w:hAnsi="Verdana" w:cs="Calibri"/>
                <w:b/>
                <w:bCs/>
                <w:color w:val="000000"/>
                <w:sz w:val="20"/>
                <w:szCs w:val="20"/>
                <w:lang w:eastAsia="ru-RU"/>
              </w:rPr>
            </w:pPr>
            <w:r w:rsidRPr="00475785">
              <w:rPr>
                <w:rFonts w:ascii="Verdana" w:eastAsia="Times New Roman" w:hAnsi="Verdana" w:cs="Calibri"/>
                <w:b/>
                <w:bCs/>
                <w:color w:val="000000"/>
                <w:sz w:val="20"/>
                <w:szCs w:val="20"/>
                <w:lang w:eastAsia="ru-RU"/>
              </w:rPr>
              <w:t>Республика Армения</w:t>
            </w:r>
          </w:p>
        </w:tc>
        <w:tc>
          <w:tcPr>
            <w:tcW w:w="960" w:type="dxa"/>
            <w:tcBorders>
              <w:top w:val="nil"/>
              <w:left w:val="nil"/>
              <w:bottom w:val="nil"/>
              <w:right w:val="nil"/>
            </w:tcBorders>
            <w:shd w:val="clear" w:color="000000" w:fill="CBCDE3"/>
            <w:vAlign w:val="center"/>
            <w:hideMark/>
          </w:tcPr>
          <w:p w14:paraId="4A11D44C" w14:textId="77777777" w:rsidR="00475785" w:rsidRPr="00475785" w:rsidRDefault="00EC2098" w:rsidP="00475785">
            <w:pPr>
              <w:spacing w:after="0" w:line="240" w:lineRule="auto"/>
              <w:jc w:val="center"/>
              <w:rPr>
                <w:rFonts w:ascii="Verdana" w:eastAsia="Times New Roman" w:hAnsi="Verdana" w:cs="Calibri"/>
                <w:b/>
                <w:bCs/>
                <w:color w:val="000000"/>
                <w:sz w:val="20"/>
                <w:szCs w:val="20"/>
                <w:lang w:eastAsia="ru-RU"/>
              </w:rPr>
            </w:pPr>
            <w:r w:rsidRPr="00475785">
              <w:rPr>
                <w:rFonts w:ascii="Verdana" w:eastAsia="Times New Roman" w:hAnsi="Verdana" w:cs="Calibri"/>
                <w:b/>
                <w:bCs/>
                <w:color w:val="000000"/>
                <w:sz w:val="20"/>
                <w:szCs w:val="20"/>
                <w:lang w:eastAsia="ru-RU"/>
              </w:rPr>
              <w:t> </w:t>
            </w:r>
          </w:p>
        </w:tc>
      </w:tr>
      <w:tr w:rsidR="009F2941" w14:paraId="12896023" w14:textId="77777777" w:rsidTr="00475785">
        <w:trPr>
          <w:trHeight w:val="310"/>
        </w:trPr>
        <w:tc>
          <w:tcPr>
            <w:tcW w:w="4420" w:type="dxa"/>
            <w:tcBorders>
              <w:top w:val="nil"/>
              <w:left w:val="nil"/>
              <w:bottom w:val="nil"/>
              <w:right w:val="nil"/>
            </w:tcBorders>
            <w:shd w:val="clear" w:color="000000" w:fill="E7E8F2"/>
            <w:vAlign w:val="center"/>
            <w:hideMark/>
          </w:tcPr>
          <w:p w14:paraId="0B40F626" w14:textId="77777777" w:rsidR="00475785" w:rsidRPr="00475785" w:rsidRDefault="00EC2098" w:rsidP="00475785">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ВВП в сопоставимых ценах</w:t>
            </w:r>
          </w:p>
        </w:tc>
        <w:tc>
          <w:tcPr>
            <w:tcW w:w="960" w:type="dxa"/>
            <w:tcBorders>
              <w:top w:val="nil"/>
              <w:left w:val="nil"/>
              <w:bottom w:val="nil"/>
              <w:right w:val="nil"/>
            </w:tcBorders>
            <w:shd w:val="clear" w:color="000000" w:fill="E7E8F2"/>
            <w:vAlign w:val="center"/>
            <w:hideMark/>
          </w:tcPr>
          <w:p w14:paraId="562FC800"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12</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6</w:t>
            </w:r>
          </w:p>
        </w:tc>
        <w:tc>
          <w:tcPr>
            <w:tcW w:w="960" w:type="dxa"/>
            <w:tcBorders>
              <w:top w:val="nil"/>
              <w:left w:val="nil"/>
              <w:bottom w:val="nil"/>
              <w:right w:val="nil"/>
            </w:tcBorders>
            <w:shd w:val="clear" w:color="000000" w:fill="E7E8F2"/>
            <w:vAlign w:val="center"/>
            <w:hideMark/>
          </w:tcPr>
          <w:p w14:paraId="02188AAF"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8</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7</w:t>
            </w:r>
          </w:p>
        </w:tc>
        <w:tc>
          <w:tcPr>
            <w:tcW w:w="960" w:type="dxa"/>
            <w:tcBorders>
              <w:top w:val="nil"/>
              <w:left w:val="nil"/>
              <w:bottom w:val="nil"/>
              <w:right w:val="nil"/>
            </w:tcBorders>
            <w:shd w:val="clear" w:color="000000" w:fill="E7E8F2"/>
            <w:vAlign w:val="center"/>
            <w:hideMark/>
          </w:tcPr>
          <w:p w14:paraId="028D1785"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7</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5</w:t>
            </w:r>
          </w:p>
        </w:tc>
        <w:tc>
          <w:tcPr>
            <w:tcW w:w="960" w:type="dxa"/>
            <w:tcBorders>
              <w:top w:val="nil"/>
              <w:left w:val="nil"/>
              <w:bottom w:val="nil"/>
              <w:right w:val="nil"/>
            </w:tcBorders>
            <w:shd w:val="clear" w:color="000000" w:fill="E7E8F2"/>
            <w:vAlign w:val="center"/>
            <w:hideMark/>
          </w:tcPr>
          <w:p w14:paraId="79CC08C8"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4</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2</w:t>
            </w:r>
          </w:p>
        </w:tc>
        <w:tc>
          <w:tcPr>
            <w:tcW w:w="960" w:type="dxa"/>
            <w:tcBorders>
              <w:top w:val="nil"/>
              <w:left w:val="nil"/>
              <w:bottom w:val="nil"/>
              <w:right w:val="nil"/>
            </w:tcBorders>
            <w:shd w:val="clear" w:color="000000" w:fill="E7E8F2"/>
            <w:vAlign w:val="center"/>
            <w:hideMark/>
          </w:tcPr>
          <w:p w14:paraId="2379CBBA"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4</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9</w:t>
            </w:r>
          </w:p>
        </w:tc>
      </w:tr>
      <w:tr w:rsidR="009F2941" w14:paraId="510899EF" w14:textId="77777777" w:rsidTr="00475785">
        <w:trPr>
          <w:trHeight w:val="310"/>
        </w:trPr>
        <w:tc>
          <w:tcPr>
            <w:tcW w:w="4420" w:type="dxa"/>
            <w:tcBorders>
              <w:top w:val="nil"/>
              <w:left w:val="nil"/>
              <w:bottom w:val="nil"/>
              <w:right w:val="nil"/>
            </w:tcBorders>
            <w:shd w:val="clear" w:color="000000" w:fill="E7E8F2"/>
            <w:vAlign w:val="center"/>
            <w:hideMark/>
          </w:tcPr>
          <w:p w14:paraId="3B39CFB8" w14:textId="77777777" w:rsidR="00475785" w:rsidRPr="00475785" w:rsidRDefault="00EC2098" w:rsidP="00475785">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 xml:space="preserve">Инфляция </w:t>
            </w:r>
            <w:r w:rsidRPr="00475785">
              <w:rPr>
                <w:rFonts w:ascii="Verdana" w:eastAsia="Times New Roman" w:hAnsi="Verdana" w:cs="Calibri"/>
                <w:i/>
                <w:iCs/>
                <w:color w:val="000000"/>
                <w:sz w:val="20"/>
                <w:szCs w:val="20"/>
                <w:lang w:eastAsia="ru-RU"/>
              </w:rPr>
              <w:t>(на конец периода)</w:t>
            </w:r>
          </w:p>
        </w:tc>
        <w:tc>
          <w:tcPr>
            <w:tcW w:w="960" w:type="dxa"/>
            <w:tcBorders>
              <w:top w:val="nil"/>
              <w:left w:val="nil"/>
              <w:bottom w:val="nil"/>
              <w:right w:val="nil"/>
            </w:tcBorders>
            <w:shd w:val="clear" w:color="000000" w:fill="E7E8F2"/>
            <w:vAlign w:val="center"/>
            <w:hideMark/>
          </w:tcPr>
          <w:p w14:paraId="33E297BE"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8</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6</w:t>
            </w:r>
          </w:p>
        </w:tc>
        <w:tc>
          <w:tcPr>
            <w:tcW w:w="960" w:type="dxa"/>
            <w:tcBorders>
              <w:top w:val="nil"/>
              <w:left w:val="nil"/>
              <w:bottom w:val="nil"/>
              <w:right w:val="nil"/>
            </w:tcBorders>
            <w:shd w:val="clear" w:color="000000" w:fill="E7E8F2"/>
            <w:vAlign w:val="center"/>
            <w:hideMark/>
          </w:tcPr>
          <w:p w14:paraId="16E41BF5"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-0</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6</w:t>
            </w:r>
          </w:p>
        </w:tc>
        <w:tc>
          <w:tcPr>
            <w:tcW w:w="960" w:type="dxa"/>
            <w:tcBorders>
              <w:top w:val="nil"/>
              <w:left w:val="nil"/>
              <w:bottom w:val="nil"/>
              <w:right w:val="nil"/>
            </w:tcBorders>
            <w:shd w:val="clear" w:color="000000" w:fill="E7E8F2"/>
            <w:vAlign w:val="center"/>
            <w:hideMark/>
          </w:tcPr>
          <w:p w14:paraId="481147DE"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1</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5</w:t>
            </w:r>
          </w:p>
        </w:tc>
        <w:tc>
          <w:tcPr>
            <w:tcW w:w="960" w:type="dxa"/>
            <w:tcBorders>
              <w:top w:val="nil"/>
              <w:left w:val="nil"/>
              <w:bottom w:val="nil"/>
              <w:right w:val="nil"/>
            </w:tcBorders>
            <w:shd w:val="clear" w:color="000000" w:fill="E7E8F2"/>
            <w:vAlign w:val="center"/>
            <w:hideMark/>
          </w:tcPr>
          <w:p w14:paraId="59FEDC86"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2</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5</w:t>
            </w:r>
          </w:p>
        </w:tc>
        <w:tc>
          <w:tcPr>
            <w:tcW w:w="960" w:type="dxa"/>
            <w:tcBorders>
              <w:top w:val="nil"/>
              <w:left w:val="nil"/>
              <w:bottom w:val="nil"/>
              <w:right w:val="nil"/>
            </w:tcBorders>
            <w:shd w:val="clear" w:color="000000" w:fill="E7E8F2"/>
            <w:vAlign w:val="center"/>
            <w:hideMark/>
          </w:tcPr>
          <w:p w14:paraId="215EE875"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2</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0</w:t>
            </w:r>
          </w:p>
        </w:tc>
      </w:tr>
      <w:tr w:rsidR="009F2941" w14:paraId="39CE609E" w14:textId="77777777" w:rsidTr="00475785">
        <w:trPr>
          <w:trHeight w:val="310"/>
        </w:trPr>
        <w:tc>
          <w:tcPr>
            <w:tcW w:w="4420" w:type="dxa"/>
            <w:tcBorders>
              <w:top w:val="nil"/>
              <w:left w:val="nil"/>
              <w:bottom w:val="nil"/>
              <w:right w:val="nil"/>
            </w:tcBorders>
            <w:shd w:val="clear" w:color="000000" w:fill="E7E8F2"/>
            <w:vAlign w:val="center"/>
            <w:hideMark/>
          </w:tcPr>
          <w:p w14:paraId="52063FF6" w14:textId="77777777" w:rsidR="00475785" w:rsidRPr="00475785" w:rsidRDefault="00EC2098" w:rsidP="00475785">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Ставка МБК (в среднем за год)</w:t>
            </w:r>
            <w:r w:rsidR="00D94005">
              <w:rPr>
                <w:rFonts w:ascii="Verdana" w:eastAsia="Times New Roman" w:hAnsi="Verdana" w:cs="Calibri"/>
                <w:bCs/>
                <w:color w:val="000000"/>
                <w:sz w:val="20"/>
                <w:szCs w:val="20"/>
                <w:lang w:eastAsia="ru-RU"/>
              </w:rPr>
              <w:t>,</w:t>
            </w:r>
            <w:r w:rsidRPr="00475785">
              <w:rPr>
                <w:rFonts w:ascii="Verdana" w:eastAsia="Times New Roman" w:hAnsi="Verdana" w:cs="Calibri"/>
                <w:bCs/>
                <w:color w:val="000000"/>
                <w:sz w:val="20"/>
                <w:szCs w:val="20"/>
                <w:lang w:eastAsia="ru-RU"/>
              </w:rPr>
              <w:t xml:space="preserve"> %</w:t>
            </w:r>
          </w:p>
        </w:tc>
        <w:tc>
          <w:tcPr>
            <w:tcW w:w="960" w:type="dxa"/>
            <w:tcBorders>
              <w:top w:val="nil"/>
              <w:left w:val="nil"/>
              <w:bottom w:val="nil"/>
              <w:right w:val="nil"/>
            </w:tcBorders>
            <w:shd w:val="clear" w:color="000000" w:fill="E7E8F2"/>
            <w:vAlign w:val="center"/>
            <w:hideMark/>
          </w:tcPr>
          <w:p w14:paraId="54D0ADE9"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9</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0</w:t>
            </w:r>
          </w:p>
        </w:tc>
        <w:tc>
          <w:tcPr>
            <w:tcW w:w="960" w:type="dxa"/>
            <w:tcBorders>
              <w:top w:val="nil"/>
              <w:left w:val="nil"/>
              <w:bottom w:val="nil"/>
              <w:right w:val="nil"/>
            </w:tcBorders>
            <w:shd w:val="clear" w:color="000000" w:fill="E7E8F2"/>
            <w:vAlign w:val="center"/>
            <w:hideMark/>
          </w:tcPr>
          <w:p w14:paraId="64ACB2E9"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10</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0</w:t>
            </w:r>
          </w:p>
        </w:tc>
        <w:tc>
          <w:tcPr>
            <w:tcW w:w="960" w:type="dxa"/>
            <w:tcBorders>
              <w:top w:val="nil"/>
              <w:left w:val="nil"/>
              <w:bottom w:val="nil"/>
              <w:right w:val="nil"/>
            </w:tcBorders>
            <w:shd w:val="clear" w:color="000000" w:fill="E7E8F2"/>
            <w:vAlign w:val="center"/>
            <w:hideMark/>
          </w:tcPr>
          <w:p w14:paraId="50588ABB"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8</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3</w:t>
            </w:r>
          </w:p>
        </w:tc>
        <w:tc>
          <w:tcPr>
            <w:tcW w:w="960" w:type="dxa"/>
            <w:tcBorders>
              <w:top w:val="nil"/>
              <w:left w:val="nil"/>
              <w:bottom w:val="nil"/>
              <w:right w:val="nil"/>
            </w:tcBorders>
            <w:shd w:val="clear" w:color="000000" w:fill="E7E8F2"/>
            <w:vAlign w:val="center"/>
            <w:hideMark/>
          </w:tcPr>
          <w:p w14:paraId="6FCF0BF6"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6</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7</w:t>
            </w:r>
          </w:p>
        </w:tc>
        <w:tc>
          <w:tcPr>
            <w:tcW w:w="960" w:type="dxa"/>
            <w:tcBorders>
              <w:top w:val="nil"/>
              <w:left w:val="nil"/>
              <w:bottom w:val="nil"/>
              <w:right w:val="nil"/>
            </w:tcBorders>
            <w:shd w:val="clear" w:color="000000" w:fill="E7E8F2"/>
            <w:vAlign w:val="center"/>
            <w:hideMark/>
          </w:tcPr>
          <w:p w14:paraId="750AC903"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6</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0</w:t>
            </w:r>
          </w:p>
        </w:tc>
      </w:tr>
      <w:tr w:rsidR="009F2941" w14:paraId="4B3D5CF5" w14:textId="77777777" w:rsidTr="00475785">
        <w:trPr>
          <w:trHeight w:val="310"/>
        </w:trPr>
        <w:tc>
          <w:tcPr>
            <w:tcW w:w="4420" w:type="dxa"/>
            <w:tcBorders>
              <w:top w:val="nil"/>
              <w:left w:val="nil"/>
              <w:bottom w:val="nil"/>
              <w:right w:val="nil"/>
            </w:tcBorders>
            <w:shd w:val="clear" w:color="000000" w:fill="E7E8F2"/>
            <w:vAlign w:val="center"/>
            <w:hideMark/>
          </w:tcPr>
          <w:p w14:paraId="3D5D4FDC" w14:textId="77777777" w:rsidR="00475785" w:rsidRPr="00475785" w:rsidRDefault="00EC2098" w:rsidP="00475785">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 xml:space="preserve">Курс драма к доллару </w:t>
            </w:r>
            <w:r w:rsidRPr="00475785">
              <w:rPr>
                <w:rFonts w:ascii="Verdana" w:eastAsia="Times New Roman" w:hAnsi="Verdana" w:cs="Calibri"/>
                <w:i/>
                <w:iCs/>
                <w:color w:val="000000"/>
                <w:sz w:val="20"/>
                <w:szCs w:val="20"/>
                <w:lang w:eastAsia="ru-RU"/>
              </w:rPr>
              <w:t>(в среднем за год)</w:t>
            </w:r>
          </w:p>
        </w:tc>
        <w:tc>
          <w:tcPr>
            <w:tcW w:w="960" w:type="dxa"/>
            <w:tcBorders>
              <w:top w:val="nil"/>
              <w:left w:val="nil"/>
              <w:bottom w:val="nil"/>
              <w:right w:val="nil"/>
            </w:tcBorders>
            <w:shd w:val="clear" w:color="000000" w:fill="E7E8F2"/>
            <w:vAlign w:val="center"/>
            <w:hideMark/>
          </w:tcPr>
          <w:p w14:paraId="3FCD892F"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436</w:t>
            </w:r>
          </w:p>
        </w:tc>
        <w:tc>
          <w:tcPr>
            <w:tcW w:w="960" w:type="dxa"/>
            <w:tcBorders>
              <w:top w:val="nil"/>
              <w:left w:val="nil"/>
              <w:bottom w:val="nil"/>
              <w:right w:val="nil"/>
            </w:tcBorders>
            <w:shd w:val="clear" w:color="000000" w:fill="E7E8F2"/>
            <w:vAlign w:val="center"/>
            <w:hideMark/>
          </w:tcPr>
          <w:p w14:paraId="4B1496E2"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392</w:t>
            </w:r>
          </w:p>
        </w:tc>
        <w:tc>
          <w:tcPr>
            <w:tcW w:w="960" w:type="dxa"/>
            <w:tcBorders>
              <w:top w:val="nil"/>
              <w:left w:val="nil"/>
              <w:bottom w:val="nil"/>
              <w:right w:val="nil"/>
            </w:tcBorders>
            <w:shd w:val="clear" w:color="000000" w:fill="E7E8F2"/>
            <w:vAlign w:val="center"/>
            <w:hideMark/>
          </w:tcPr>
          <w:p w14:paraId="6FED2887"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396</w:t>
            </w:r>
          </w:p>
        </w:tc>
        <w:tc>
          <w:tcPr>
            <w:tcW w:w="960" w:type="dxa"/>
            <w:tcBorders>
              <w:top w:val="nil"/>
              <w:left w:val="nil"/>
              <w:bottom w:val="nil"/>
              <w:right w:val="nil"/>
            </w:tcBorders>
            <w:shd w:val="clear" w:color="000000" w:fill="E7E8F2"/>
            <w:vAlign w:val="center"/>
            <w:hideMark/>
          </w:tcPr>
          <w:p w14:paraId="7838A75E"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398</w:t>
            </w:r>
          </w:p>
        </w:tc>
        <w:tc>
          <w:tcPr>
            <w:tcW w:w="960" w:type="dxa"/>
            <w:tcBorders>
              <w:top w:val="nil"/>
              <w:left w:val="nil"/>
              <w:bottom w:val="nil"/>
              <w:right w:val="nil"/>
            </w:tcBorders>
            <w:shd w:val="clear" w:color="000000" w:fill="E7E8F2"/>
            <w:vAlign w:val="center"/>
            <w:hideMark/>
          </w:tcPr>
          <w:p w14:paraId="3079C9BE"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399</w:t>
            </w:r>
          </w:p>
        </w:tc>
      </w:tr>
      <w:tr w:rsidR="009F2941" w14:paraId="6270E8B4" w14:textId="77777777" w:rsidTr="00475785">
        <w:trPr>
          <w:trHeight w:val="290"/>
        </w:trPr>
        <w:tc>
          <w:tcPr>
            <w:tcW w:w="8260" w:type="dxa"/>
            <w:gridSpan w:val="5"/>
            <w:tcBorders>
              <w:top w:val="nil"/>
              <w:left w:val="nil"/>
              <w:bottom w:val="nil"/>
              <w:right w:val="nil"/>
            </w:tcBorders>
            <w:shd w:val="clear" w:color="000000" w:fill="CBCDE3"/>
            <w:vAlign w:val="center"/>
            <w:hideMark/>
          </w:tcPr>
          <w:p w14:paraId="0C24022B" w14:textId="77777777" w:rsidR="00475785" w:rsidRPr="00475785" w:rsidRDefault="00EC2098" w:rsidP="00475785">
            <w:pPr>
              <w:spacing w:after="0" w:line="240" w:lineRule="auto"/>
              <w:jc w:val="center"/>
              <w:rPr>
                <w:rFonts w:ascii="Verdana" w:eastAsia="Times New Roman" w:hAnsi="Verdana" w:cs="Calibri"/>
                <w:b/>
                <w:bCs/>
                <w:color w:val="000000"/>
                <w:sz w:val="20"/>
                <w:szCs w:val="20"/>
                <w:lang w:eastAsia="ru-RU"/>
              </w:rPr>
            </w:pPr>
            <w:r w:rsidRPr="00475785">
              <w:rPr>
                <w:rFonts w:ascii="Verdana" w:eastAsia="Times New Roman" w:hAnsi="Verdana" w:cs="Calibri"/>
                <w:b/>
                <w:bCs/>
                <w:color w:val="000000"/>
                <w:sz w:val="20"/>
                <w:szCs w:val="20"/>
                <w:lang w:eastAsia="ru-RU"/>
              </w:rPr>
              <w:t>Республика Беларусь</w:t>
            </w:r>
          </w:p>
        </w:tc>
        <w:tc>
          <w:tcPr>
            <w:tcW w:w="960" w:type="dxa"/>
            <w:tcBorders>
              <w:top w:val="nil"/>
              <w:left w:val="nil"/>
              <w:bottom w:val="nil"/>
              <w:right w:val="nil"/>
            </w:tcBorders>
            <w:shd w:val="clear" w:color="000000" w:fill="CBCDE3"/>
            <w:vAlign w:val="center"/>
            <w:hideMark/>
          </w:tcPr>
          <w:p w14:paraId="5C73D2F5" w14:textId="77777777" w:rsidR="00475785" w:rsidRPr="00475785" w:rsidRDefault="00EC2098" w:rsidP="00475785">
            <w:pPr>
              <w:spacing w:after="0" w:line="240" w:lineRule="auto"/>
              <w:jc w:val="center"/>
              <w:rPr>
                <w:rFonts w:ascii="Verdana" w:eastAsia="Times New Roman" w:hAnsi="Verdana" w:cs="Calibri"/>
                <w:b/>
                <w:bCs/>
                <w:color w:val="000000"/>
                <w:sz w:val="20"/>
                <w:szCs w:val="20"/>
                <w:lang w:eastAsia="ru-RU"/>
              </w:rPr>
            </w:pPr>
            <w:r w:rsidRPr="00475785">
              <w:rPr>
                <w:rFonts w:ascii="Verdana" w:eastAsia="Times New Roman" w:hAnsi="Verdana" w:cs="Calibri"/>
                <w:b/>
                <w:bCs/>
                <w:color w:val="000000"/>
                <w:sz w:val="20"/>
                <w:szCs w:val="20"/>
                <w:lang w:eastAsia="ru-RU"/>
              </w:rPr>
              <w:t> </w:t>
            </w:r>
          </w:p>
        </w:tc>
      </w:tr>
      <w:tr w:rsidR="009F2941" w14:paraId="030EBFE7" w14:textId="77777777" w:rsidTr="00475785">
        <w:trPr>
          <w:trHeight w:val="310"/>
        </w:trPr>
        <w:tc>
          <w:tcPr>
            <w:tcW w:w="4420" w:type="dxa"/>
            <w:tcBorders>
              <w:top w:val="nil"/>
              <w:left w:val="nil"/>
              <w:bottom w:val="nil"/>
              <w:right w:val="nil"/>
            </w:tcBorders>
            <w:shd w:val="clear" w:color="000000" w:fill="E7E8F2"/>
            <w:vAlign w:val="center"/>
            <w:hideMark/>
          </w:tcPr>
          <w:p w14:paraId="209C2A38" w14:textId="77777777" w:rsidR="005B4390" w:rsidRPr="00475785" w:rsidRDefault="00EC2098" w:rsidP="005B4390">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ВВП в сопоставимых ценах</w:t>
            </w:r>
          </w:p>
        </w:tc>
        <w:tc>
          <w:tcPr>
            <w:tcW w:w="960" w:type="dxa"/>
            <w:tcBorders>
              <w:top w:val="nil"/>
              <w:left w:val="nil"/>
              <w:bottom w:val="nil"/>
              <w:right w:val="nil"/>
            </w:tcBorders>
            <w:shd w:val="clear" w:color="000000" w:fill="E7E8F2"/>
            <w:vAlign w:val="center"/>
            <w:hideMark/>
          </w:tcPr>
          <w:p w14:paraId="220C5E3E" w14:textId="77777777" w:rsidR="005B4390" w:rsidRPr="00213497" w:rsidRDefault="00EC2098" w:rsidP="005B4390">
            <w:pPr>
              <w:spacing w:after="0" w:line="240" w:lineRule="auto"/>
              <w:jc w:val="center"/>
              <w:rPr>
                <w:rFonts w:ascii="Verdana" w:hAnsi="Verdana" w:cs="Arial"/>
                <w:sz w:val="20"/>
                <w:szCs w:val="20"/>
              </w:rPr>
            </w:pPr>
            <w:r w:rsidRPr="00213497">
              <w:rPr>
                <w:rFonts w:ascii="Verdana" w:hAnsi="Verdana" w:cs="Arial"/>
                <w:sz w:val="20"/>
                <w:szCs w:val="20"/>
              </w:rPr>
              <w:t>-4,7</w:t>
            </w:r>
          </w:p>
        </w:tc>
        <w:tc>
          <w:tcPr>
            <w:tcW w:w="960" w:type="dxa"/>
            <w:tcBorders>
              <w:top w:val="nil"/>
              <w:left w:val="nil"/>
              <w:bottom w:val="nil"/>
              <w:right w:val="nil"/>
            </w:tcBorders>
            <w:shd w:val="clear" w:color="000000" w:fill="E7E8F2"/>
            <w:vAlign w:val="center"/>
            <w:hideMark/>
          </w:tcPr>
          <w:p w14:paraId="4F883754" w14:textId="77777777" w:rsidR="005B4390" w:rsidRPr="00213497" w:rsidRDefault="00EC2098" w:rsidP="005B4390">
            <w:pPr>
              <w:spacing w:after="0" w:line="240" w:lineRule="auto"/>
              <w:jc w:val="center"/>
              <w:rPr>
                <w:rFonts w:ascii="Verdana" w:hAnsi="Verdana" w:cs="Arial"/>
                <w:sz w:val="20"/>
                <w:szCs w:val="20"/>
              </w:rPr>
            </w:pPr>
            <w:r w:rsidRPr="00213497">
              <w:rPr>
                <w:rFonts w:ascii="Verdana" w:hAnsi="Verdana" w:cs="Arial"/>
                <w:sz w:val="20"/>
                <w:szCs w:val="20"/>
              </w:rPr>
              <w:t>3,9</w:t>
            </w:r>
          </w:p>
        </w:tc>
        <w:tc>
          <w:tcPr>
            <w:tcW w:w="960" w:type="dxa"/>
            <w:tcBorders>
              <w:top w:val="nil"/>
              <w:left w:val="nil"/>
              <w:bottom w:val="nil"/>
              <w:right w:val="nil"/>
            </w:tcBorders>
            <w:shd w:val="clear" w:color="000000" w:fill="E7E8F2"/>
            <w:vAlign w:val="center"/>
            <w:hideMark/>
          </w:tcPr>
          <w:p w14:paraId="37BF844E" w14:textId="77777777" w:rsidR="005B4390" w:rsidRPr="00213497" w:rsidRDefault="00EC2098" w:rsidP="005B4390">
            <w:pPr>
              <w:spacing w:after="0" w:line="240" w:lineRule="auto"/>
              <w:jc w:val="center"/>
              <w:rPr>
                <w:rFonts w:ascii="Verdana" w:hAnsi="Verdana" w:cs="Arial"/>
                <w:sz w:val="20"/>
                <w:szCs w:val="20"/>
              </w:rPr>
            </w:pPr>
            <w:r w:rsidRPr="00213497">
              <w:rPr>
                <w:rFonts w:ascii="Verdana" w:hAnsi="Verdana" w:cs="Arial"/>
                <w:sz w:val="20"/>
                <w:szCs w:val="20"/>
              </w:rPr>
              <w:t>3,4</w:t>
            </w:r>
          </w:p>
        </w:tc>
        <w:tc>
          <w:tcPr>
            <w:tcW w:w="960" w:type="dxa"/>
            <w:tcBorders>
              <w:top w:val="nil"/>
              <w:left w:val="nil"/>
              <w:bottom w:val="nil"/>
              <w:right w:val="nil"/>
            </w:tcBorders>
            <w:shd w:val="clear" w:color="000000" w:fill="E7E8F2"/>
            <w:vAlign w:val="center"/>
            <w:hideMark/>
          </w:tcPr>
          <w:p w14:paraId="494388AA" w14:textId="77777777" w:rsidR="005B4390" w:rsidRPr="00213497" w:rsidRDefault="00EC2098" w:rsidP="005B4390">
            <w:pPr>
              <w:spacing w:after="0" w:line="240" w:lineRule="auto"/>
              <w:jc w:val="center"/>
              <w:rPr>
                <w:rFonts w:ascii="Verdana" w:hAnsi="Verdana" w:cs="Arial"/>
                <w:sz w:val="20"/>
                <w:szCs w:val="20"/>
              </w:rPr>
            </w:pPr>
            <w:r w:rsidRPr="00213497">
              <w:rPr>
                <w:rFonts w:ascii="Verdana" w:hAnsi="Verdana" w:cs="Arial"/>
                <w:sz w:val="20"/>
                <w:szCs w:val="20"/>
              </w:rPr>
              <w:t>1,1</w:t>
            </w:r>
          </w:p>
        </w:tc>
        <w:tc>
          <w:tcPr>
            <w:tcW w:w="960" w:type="dxa"/>
            <w:tcBorders>
              <w:top w:val="nil"/>
              <w:left w:val="nil"/>
              <w:bottom w:val="nil"/>
              <w:right w:val="nil"/>
            </w:tcBorders>
            <w:shd w:val="clear" w:color="000000" w:fill="E7E8F2"/>
            <w:vAlign w:val="center"/>
            <w:hideMark/>
          </w:tcPr>
          <w:p w14:paraId="3EDEC3EA" w14:textId="1D0AEFBC" w:rsidR="005B4390" w:rsidRPr="00213497" w:rsidRDefault="00EC2098" w:rsidP="003F26E7">
            <w:pPr>
              <w:spacing w:after="0" w:line="240" w:lineRule="auto"/>
              <w:jc w:val="center"/>
              <w:rPr>
                <w:rFonts w:ascii="Verdana" w:hAnsi="Verdana" w:cs="Arial"/>
                <w:sz w:val="20"/>
                <w:szCs w:val="20"/>
              </w:rPr>
            </w:pPr>
            <w:r w:rsidRPr="00213497">
              <w:rPr>
                <w:rFonts w:ascii="Verdana" w:hAnsi="Verdana" w:cs="Arial"/>
                <w:sz w:val="20"/>
                <w:szCs w:val="20"/>
              </w:rPr>
              <w:t>1,</w:t>
            </w:r>
            <w:r w:rsidR="003F26E7">
              <w:rPr>
                <w:rFonts w:ascii="Verdana" w:hAnsi="Verdana" w:cs="Arial"/>
                <w:sz w:val="20"/>
                <w:szCs w:val="20"/>
              </w:rPr>
              <w:t>3</w:t>
            </w:r>
          </w:p>
        </w:tc>
      </w:tr>
      <w:tr w:rsidR="009F2941" w14:paraId="28C2C17D" w14:textId="77777777" w:rsidTr="00475785">
        <w:trPr>
          <w:trHeight w:val="310"/>
        </w:trPr>
        <w:tc>
          <w:tcPr>
            <w:tcW w:w="4420" w:type="dxa"/>
            <w:tcBorders>
              <w:top w:val="nil"/>
              <w:left w:val="nil"/>
              <w:bottom w:val="nil"/>
              <w:right w:val="nil"/>
            </w:tcBorders>
            <w:shd w:val="clear" w:color="000000" w:fill="E7E8F2"/>
            <w:vAlign w:val="center"/>
            <w:hideMark/>
          </w:tcPr>
          <w:p w14:paraId="67E4B6DD" w14:textId="77777777" w:rsidR="005B4390" w:rsidRPr="00475785" w:rsidRDefault="00EC2098" w:rsidP="005B4390">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 xml:space="preserve">Инфляция </w:t>
            </w:r>
            <w:r w:rsidRPr="00475785">
              <w:rPr>
                <w:rFonts w:ascii="Verdana" w:eastAsia="Times New Roman" w:hAnsi="Verdana" w:cs="Calibri"/>
                <w:i/>
                <w:iCs/>
                <w:color w:val="000000"/>
                <w:sz w:val="20"/>
                <w:szCs w:val="20"/>
                <w:lang w:eastAsia="ru-RU"/>
              </w:rPr>
              <w:t>(на конец периода)</w:t>
            </w:r>
          </w:p>
        </w:tc>
        <w:tc>
          <w:tcPr>
            <w:tcW w:w="960" w:type="dxa"/>
            <w:tcBorders>
              <w:top w:val="nil"/>
              <w:left w:val="nil"/>
              <w:bottom w:val="nil"/>
              <w:right w:val="nil"/>
            </w:tcBorders>
            <w:shd w:val="clear" w:color="000000" w:fill="E7E8F2"/>
            <w:vAlign w:val="center"/>
            <w:hideMark/>
          </w:tcPr>
          <w:p w14:paraId="4C483419" w14:textId="77777777" w:rsidR="005B4390" w:rsidRPr="00213497" w:rsidRDefault="00EC2098" w:rsidP="005B4390">
            <w:pPr>
              <w:spacing w:after="0" w:line="240" w:lineRule="auto"/>
              <w:jc w:val="center"/>
              <w:rPr>
                <w:rFonts w:ascii="Verdana" w:hAnsi="Verdana" w:cs="Arial"/>
                <w:color w:val="595959" w:themeColor="text1" w:themeTint="A6"/>
                <w:sz w:val="20"/>
                <w:szCs w:val="20"/>
              </w:rPr>
            </w:pPr>
            <w:r w:rsidRPr="00213497">
              <w:rPr>
                <w:rFonts w:ascii="Verdana" w:hAnsi="Verdana" w:cs="Arial"/>
                <w:sz w:val="20"/>
                <w:szCs w:val="20"/>
              </w:rPr>
              <w:t>12,8</w:t>
            </w:r>
          </w:p>
        </w:tc>
        <w:tc>
          <w:tcPr>
            <w:tcW w:w="960" w:type="dxa"/>
            <w:tcBorders>
              <w:top w:val="nil"/>
              <w:left w:val="nil"/>
              <w:bottom w:val="nil"/>
              <w:right w:val="nil"/>
            </w:tcBorders>
            <w:shd w:val="clear" w:color="000000" w:fill="E7E8F2"/>
            <w:vAlign w:val="center"/>
            <w:hideMark/>
          </w:tcPr>
          <w:p w14:paraId="09037E93" w14:textId="77777777" w:rsidR="005B4390" w:rsidRPr="00213497" w:rsidRDefault="00EC2098" w:rsidP="005B4390">
            <w:pPr>
              <w:spacing w:after="0" w:line="240" w:lineRule="auto"/>
              <w:jc w:val="center"/>
              <w:rPr>
                <w:rFonts w:ascii="Verdana" w:hAnsi="Verdana" w:cs="Arial"/>
                <w:sz w:val="20"/>
                <w:szCs w:val="20"/>
              </w:rPr>
            </w:pPr>
            <w:r w:rsidRPr="00213497">
              <w:rPr>
                <w:rFonts w:ascii="Verdana" w:hAnsi="Verdana" w:cs="Arial"/>
                <w:sz w:val="20"/>
                <w:szCs w:val="20"/>
              </w:rPr>
              <w:t>4,9</w:t>
            </w:r>
          </w:p>
        </w:tc>
        <w:tc>
          <w:tcPr>
            <w:tcW w:w="960" w:type="dxa"/>
            <w:tcBorders>
              <w:top w:val="nil"/>
              <w:left w:val="nil"/>
              <w:bottom w:val="nil"/>
              <w:right w:val="nil"/>
            </w:tcBorders>
            <w:shd w:val="clear" w:color="000000" w:fill="E7E8F2"/>
            <w:vAlign w:val="center"/>
            <w:hideMark/>
          </w:tcPr>
          <w:p w14:paraId="661B788F" w14:textId="77777777" w:rsidR="005B4390" w:rsidRPr="00213497" w:rsidRDefault="00EC2098" w:rsidP="005B4390">
            <w:pPr>
              <w:spacing w:after="0" w:line="240" w:lineRule="auto"/>
              <w:jc w:val="center"/>
              <w:rPr>
                <w:rFonts w:ascii="Verdana" w:hAnsi="Verdana" w:cs="Arial"/>
                <w:sz w:val="20"/>
                <w:szCs w:val="20"/>
              </w:rPr>
            </w:pPr>
            <w:r w:rsidRPr="00213497">
              <w:rPr>
                <w:rFonts w:ascii="Verdana" w:hAnsi="Verdana" w:cs="Arial"/>
                <w:sz w:val="20"/>
                <w:szCs w:val="20"/>
              </w:rPr>
              <w:t>6,0</w:t>
            </w:r>
          </w:p>
        </w:tc>
        <w:tc>
          <w:tcPr>
            <w:tcW w:w="960" w:type="dxa"/>
            <w:tcBorders>
              <w:top w:val="nil"/>
              <w:left w:val="nil"/>
              <w:bottom w:val="nil"/>
              <w:right w:val="nil"/>
            </w:tcBorders>
            <w:shd w:val="clear" w:color="000000" w:fill="E7E8F2"/>
            <w:vAlign w:val="center"/>
            <w:hideMark/>
          </w:tcPr>
          <w:p w14:paraId="46ECF7C4" w14:textId="77777777" w:rsidR="005B4390" w:rsidRPr="00213497" w:rsidRDefault="00EC2098" w:rsidP="005B4390">
            <w:pPr>
              <w:spacing w:after="0" w:line="240" w:lineRule="auto"/>
              <w:jc w:val="center"/>
              <w:rPr>
                <w:rFonts w:ascii="Verdana" w:hAnsi="Verdana" w:cs="Arial"/>
                <w:sz w:val="20"/>
                <w:szCs w:val="20"/>
              </w:rPr>
            </w:pPr>
            <w:r w:rsidRPr="00213497">
              <w:rPr>
                <w:rFonts w:ascii="Verdana" w:hAnsi="Verdana" w:cs="Arial"/>
                <w:sz w:val="20"/>
                <w:szCs w:val="20"/>
              </w:rPr>
              <w:t>6,8</w:t>
            </w:r>
          </w:p>
        </w:tc>
        <w:tc>
          <w:tcPr>
            <w:tcW w:w="960" w:type="dxa"/>
            <w:tcBorders>
              <w:top w:val="nil"/>
              <w:left w:val="nil"/>
              <w:bottom w:val="nil"/>
              <w:right w:val="nil"/>
            </w:tcBorders>
            <w:shd w:val="clear" w:color="000000" w:fill="E7E8F2"/>
            <w:vAlign w:val="center"/>
            <w:hideMark/>
          </w:tcPr>
          <w:p w14:paraId="0BE9F0AD" w14:textId="77777777" w:rsidR="005B4390" w:rsidRPr="00213497" w:rsidRDefault="00EC2098" w:rsidP="005B4390">
            <w:pPr>
              <w:spacing w:after="0" w:line="240" w:lineRule="auto"/>
              <w:jc w:val="center"/>
              <w:rPr>
                <w:rFonts w:ascii="Verdana" w:hAnsi="Verdana" w:cs="Arial"/>
                <w:sz w:val="20"/>
                <w:szCs w:val="20"/>
              </w:rPr>
            </w:pPr>
            <w:r w:rsidRPr="00213497">
              <w:rPr>
                <w:rFonts w:ascii="Verdana" w:hAnsi="Verdana" w:cs="Arial"/>
                <w:sz w:val="20"/>
                <w:szCs w:val="20"/>
              </w:rPr>
              <w:t>7,7</w:t>
            </w:r>
          </w:p>
        </w:tc>
      </w:tr>
      <w:tr w:rsidR="009F2941" w14:paraId="3D2DC2D9" w14:textId="77777777" w:rsidTr="00475785">
        <w:trPr>
          <w:trHeight w:val="610"/>
        </w:trPr>
        <w:tc>
          <w:tcPr>
            <w:tcW w:w="4420" w:type="dxa"/>
            <w:tcBorders>
              <w:top w:val="nil"/>
              <w:left w:val="nil"/>
              <w:bottom w:val="nil"/>
              <w:right w:val="nil"/>
            </w:tcBorders>
            <w:shd w:val="clear" w:color="000000" w:fill="E7E8F2"/>
            <w:vAlign w:val="center"/>
            <w:hideMark/>
          </w:tcPr>
          <w:p w14:paraId="5285AB6E" w14:textId="77777777" w:rsidR="005B4390" w:rsidRPr="00475785" w:rsidRDefault="00EC2098" w:rsidP="005B4390">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Ставка рефинансирования (в среднем за год)</w:t>
            </w:r>
            <w:r>
              <w:rPr>
                <w:rFonts w:ascii="Verdana" w:eastAsia="Times New Roman" w:hAnsi="Verdana" w:cs="Calibri"/>
                <w:bCs/>
                <w:color w:val="000000"/>
                <w:sz w:val="20"/>
                <w:szCs w:val="20"/>
                <w:lang w:eastAsia="ru-RU"/>
              </w:rPr>
              <w:t>,</w:t>
            </w:r>
            <w:r w:rsidRPr="00475785">
              <w:rPr>
                <w:rFonts w:ascii="Verdana" w:eastAsia="Times New Roman" w:hAnsi="Verdana" w:cs="Calibri"/>
                <w:bCs/>
                <w:color w:val="000000"/>
                <w:sz w:val="20"/>
                <w:szCs w:val="20"/>
                <w:lang w:eastAsia="ru-RU"/>
              </w:rPr>
              <w:t xml:space="preserve"> %</w:t>
            </w:r>
          </w:p>
        </w:tc>
        <w:tc>
          <w:tcPr>
            <w:tcW w:w="960" w:type="dxa"/>
            <w:tcBorders>
              <w:top w:val="nil"/>
              <w:left w:val="nil"/>
              <w:bottom w:val="nil"/>
              <w:right w:val="nil"/>
            </w:tcBorders>
            <w:shd w:val="clear" w:color="000000" w:fill="E7E8F2"/>
            <w:vAlign w:val="center"/>
            <w:hideMark/>
          </w:tcPr>
          <w:p w14:paraId="6D0E7EB0" w14:textId="77777777" w:rsidR="005B4390" w:rsidRPr="00213497" w:rsidRDefault="00EC2098" w:rsidP="005B4390">
            <w:pPr>
              <w:spacing w:after="0" w:line="240" w:lineRule="auto"/>
              <w:jc w:val="center"/>
              <w:rPr>
                <w:rFonts w:ascii="Verdana" w:hAnsi="Verdana" w:cs="Arial"/>
                <w:color w:val="595959" w:themeColor="text1" w:themeTint="A6"/>
                <w:sz w:val="20"/>
                <w:szCs w:val="20"/>
              </w:rPr>
            </w:pPr>
            <w:r w:rsidRPr="00213497">
              <w:rPr>
                <w:rFonts w:ascii="Verdana" w:hAnsi="Verdana" w:cs="Arial"/>
                <w:sz w:val="20"/>
                <w:szCs w:val="20"/>
              </w:rPr>
              <w:t>11,6</w:t>
            </w:r>
          </w:p>
        </w:tc>
        <w:tc>
          <w:tcPr>
            <w:tcW w:w="960" w:type="dxa"/>
            <w:tcBorders>
              <w:top w:val="nil"/>
              <w:left w:val="nil"/>
              <w:bottom w:val="nil"/>
              <w:right w:val="nil"/>
            </w:tcBorders>
            <w:shd w:val="clear" w:color="000000" w:fill="E7E8F2"/>
            <w:vAlign w:val="center"/>
            <w:hideMark/>
          </w:tcPr>
          <w:p w14:paraId="601F1D12" w14:textId="77777777" w:rsidR="005B4390" w:rsidRPr="00213497" w:rsidRDefault="00EC2098" w:rsidP="005B4390">
            <w:pPr>
              <w:spacing w:after="0" w:line="240" w:lineRule="auto"/>
              <w:jc w:val="center"/>
              <w:rPr>
                <w:rFonts w:ascii="Verdana" w:hAnsi="Verdana" w:cs="Arial"/>
                <w:sz w:val="20"/>
                <w:szCs w:val="20"/>
              </w:rPr>
            </w:pPr>
            <w:r w:rsidRPr="00213497">
              <w:rPr>
                <w:rFonts w:ascii="Verdana" w:hAnsi="Verdana" w:cs="Arial"/>
                <w:sz w:val="20"/>
                <w:szCs w:val="20"/>
              </w:rPr>
              <w:t>10,1</w:t>
            </w:r>
          </w:p>
        </w:tc>
        <w:tc>
          <w:tcPr>
            <w:tcW w:w="960" w:type="dxa"/>
            <w:tcBorders>
              <w:top w:val="nil"/>
              <w:left w:val="nil"/>
              <w:bottom w:val="nil"/>
              <w:right w:val="nil"/>
            </w:tcBorders>
            <w:shd w:val="clear" w:color="000000" w:fill="E7E8F2"/>
            <w:vAlign w:val="center"/>
            <w:hideMark/>
          </w:tcPr>
          <w:p w14:paraId="24AB348D" w14:textId="77777777" w:rsidR="005B4390" w:rsidRPr="00213497" w:rsidRDefault="00EC2098" w:rsidP="005B4390">
            <w:pPr>
              <w:spacing w:after="0" w:line="240" w:lineRule="auto"/>
              <w:jc w:val="center"/>
              <w:rPr>
                <w:rFonts w:ascii="Verdana" w:hAnsi="Verdana" w:cs="Arial"/>
                <w:sz w:val="20"/>
                <w:szCs w:val="20"/>
              </w:rPr>
            </w:pPr>
            <w:r w:rsidRPr="00213497">
              <w:rPr>
                <w:rFonts w:ascii="Verdana" w:hAnsi="Verdana" w:cs="Arial"/>
                <w:sz w:val="20"/>
                <w:szCs w:val="20"/>
              </w:rPr>
              <w:t>9,5</w:t>
            </w:r>
          </w:p>
        </w:tc>
        <w:tc>
          <w:tcPr>
            <w:tcW w:w="960" w:type="dxa"/>
            <w:tcBorders>
              <w:top w:val="nil"/>
              <w:left w:val="nil"/>
              <w:bottom w:val="nil"/>
              <w:right w:val="nil"/>
            </w:tcBorders>
            <w:shd w:val="clear" w:color="000000" w:fill="E7E8F2"/>
            <w:vAlign w:val="center"/>
            <w:hideMark/>
          </w:tcPr>
          <w:p w14:paraId="570BC61C" w14:textId="77777777" w:rsidR="005B4390" w:rsidRPr="00213497" w:rsidRDefault="00EC2098" w:rsidP="005B4390">
            <w:pPr>
              <w:spacing w:after="0" w:line="240" w:lineRule="auto"/>
              <w:jc w:val="center"/>
              <w:rPr>
                <w:rFonts w:ascii="Verdana" w:hAnsi="Verdana" w:cs="Arial"/>
                <w:sz w:val="20"/>
                <w:szCs w:val="20"/>
              </w:rPr>
            </w:pPr>
            <w:r w:rsidRPr="00213497">
              <w:rPr>
                <w:rFonts w:ascii="Verdana" w:hAnsi="Verdana" w:cs="Arial"/>
                <w:sz w:val="20"/>
                <w:szCs w:val="20"/>
              </w:rPr>
              <w:t>9,5</w:t>
            </w:r>
          </w:p>
        </w:tc>
        <w:tc>
          <w:tcPr>
            <w:tcW w:w="960" w:type="dxa"/>
            <w:tcBorders>
              <w:top w:val="nil"/>
              <w:left w:val="nil"/>
              <w:bottom w:val="nil"/>
              <w:right w:val="nil"/>
            </w:tcBorders>
            <w:shd w:val="clear" w:color="000000" w:fill="E7E8F2"/>
            <w:vAlign w:val="center"/>
            <w:hideMark/>
          </w:tcPr>
          <w:p w14:paraId="79BC058C" w14:textId="77777777" w:rsidR="005B4390" w:rsidRPr="00213497" w:rsidRDefault="00EC2098" w:rsidP="005B4390">
            <w:pPr>
              <w:spacing w:after="0" w:line="240" w:lineRule="auto"/>
              <w:jc w:val="center"/>
              <w:rPr>
                <w:rFonts w:ascii="Verdana" w:hAnsi="Verdana" w:cs="Arial"/>
                <w:sz w:val="20"/>
                <w:szCs w:val="20"/>
              </w:rPr>
            </w:pPr>
            <w:r w:rsidRPr="00213497">
              <w:rPr>
                <w:rFonts w:ascii="Verdana" w:hAnsi="Verdana" w:cs="Arial"/>
                <w:sz w:val="20"/>
                <w:szCs w:val="20"/>
              </w:rPr>
              <w:t>9,5</w:t>
            </w:r>
          </w:p>
        </w:tc>
      </w:tr>
      <w:tr w:rsidR="009F2941" w14:paraId="0822C52E" w14:textId="77777777" w:rsidTr="00475785">
        <w:trPr>
          <w:trHeight w:val="540"/>
        </w:trPr>
        <w:tc>
          <w:tcPr>
            <w:tcW w:w="4420" w:type="dxa"/>
            <w:tcBorders>
              <w:top w:val="nil"/>
              <w:left w:val="nil"/>
              <w:bottom w:val="nil"/>
              <w:right w:val="nil"/>
            </w:tcBorders>
            <w:shd w:val="clear" w:color="000000" w:fill="E7E8F2"/>
            <w:vAlign w:val="center"/>
            <w:hideMark/>
          </w:tcPr>
          <w:p w14:paraId="1F98C365" w14:textId="77777777" w:rsidR="005B4390" w:rsidRPr="00475785" w:rsidRDefault="00EC2098" w:rsidP="005B4390">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Курс бел</w:t>
            </w:r>
            <w:r>
              <w:rPr>
                <w:rFonts w:ascii="Verdana" w:eastAsia="Times New Roman" w:hAnsi="Verdana" w:cs="Calibri"/>
                <w:bCs/>
                <w:color w:val="000000"/>
                <w:sz w:val="20"/>
                <w:szCs w:val="20"/>
                <w:lang w:eastAsia="ru-RU"/>
              </w:rPr>
              <w:t>,</w:t>
            </w:r>
            <w:r w:rsidRPr="00475785">
              <w:rPr>
                <w:rFonts w:ascii="Verdana" w:eastAsia="Times New Roman" w:hAnsi="Verdana" w:cs="Calibri"/>
                <w:bCs/>
                <w:color w:val="000000"/>
                <w:sz w:val="20"/>
                <w:szCs w:val="20"/>
                <w:lang w:eastAsia="ru-RU"/>
              </w:rPr>
              <w:t xml:space="preserve"> рубля к доллару</w:t>
            </w:r>
            <w:r w:rsidRPr="00475785">
              <w:rPr>
                <w:rFonts w:ascii="Verdana" w:eastAsia="Times New Roman" w:hAnsi="Verdana" w:cs="Calibri"/>
                <w:i/>
                <w:iCs/>
                <w:color w:val="000000"/>
                <w:sz w:val="20"/>
                <w:szCs w:val="20"/>
                <w:lang w:eastAsia="ru-RU"/>
              </w:rPr>
              <w:t xml:space="preserve"> (в среднем за год)</w:t>
            </w:r>
          </w:p>
        </w:tc>
        <w:tc>
          <w:tcPr>
            <w:tcW w:w="960" w:type="dxa"/>
            <w:tcBorders>
              <w:top w:val="nil"/>
              <w:left w:val="nil"/>
              <w:bottom w:val="nil"/>
              <w:right w:val="nil"/>
            </w:tcBorders>
            <w:shd w:val="clear" w:color="000000" w:fill="E7E8F2"/>
            <w:vAlign w:val="center"/>
            <w:hideMark/>
          </w:tcPr>
          <w:p w14:paraId="428CB4E3" w14:textId="77777777" w:rsidR="005B4390" w:rsidRPr="00213497" w:rsidRDefault="00EC2098" w:rsidP="005B4390">
            <w:pPr>
              <w:spacing w:after="0" w:line="240" w:lineRule="auto"/>
              <w:jc w:val="center"/>
              <w:rPr>
                <w:rFonts w:ascii="Verdana" w:hAnsi="Verdana" w:cs="Arial"/>
                <w:color w:val="595959" w:themeColor="text1" w:themeTint="A6"/>
                <w:sz w:val="20"/>
                <w:szCs w:val="20"/>
              </w:rPr>
            </w:pPr>
            <w:r w:rsidRPr="00213497">
              <w:rPr>
                <w:rFonts w:ascii="Verdana" w:hAnsi="Verdana" w:cs="Arial"/>
                <w:sz w:val="20"/>
                <w:szCs w:val="20"/>
              </w:rPr>
              <w:t>2,62</w:t>
            </w:r>
          </w:p>
        </w:tc>
        <w:tc>
          <w:tcPr>
            <w:tcW w:w="960" w:type="dxa"/>
            <w:tcBorders>
              <w:top w:val="nil"/>
              <w:left w:val="nil"/>
              <w:bottom w:val="nil"/>
              <w:right w:val="nil"/>
            </w:tcBorders>
            <w:shd w:val="clear" w:color="000000" w:fill="E7E8F2"/>
            <w:vAlign w:val="center"/>
            <w:hideMark/>
          </w:tcPr>
          <w:p w14:paraId="2B042EF9" w14:textId="77777777" w:rsidR="005B4390" w:rsidRPr="00213497" w:rsidRDefault="00EC2098" w:rsidP="005B4390">
            <w:pPr>
              <w:spacing w:after="0" w:line="240" w:lineRule="auto"/>
              <w:jc w:val="center"/>
              <w:rPr>
                <w:rFonts w:ascii="Verdana" w:hAnsi="Verdana" w:cs="Arial"/>
                <w:sz w:val="20"/>
                <w:szCs w:val="20"/>
              </w:rPr>
            </w:pPr>
            <w:r w:rsidRPr="00213497">
              <w:rPr>
                <w:rFonts w:ascii="Verdana" w:hAnsi="Verdana" w:cs="Arial"/>
                <w:sz w:val="20"/>
                <w:szCs w:val="20"/>
              </w:rPr>
              <w:t>3,01</w:t>
            </w:r>
          </w:p>
        </w:tc>
        <w:tc>
          <w:tcPr>
            <w:tcW w:w="960" w:type="dxa"/>
            <w:tcBorders>
              <w:top w:val="nil"/>
              <w:left w:val="nil"/>
              <w:bottom w:val="nil"/>
              <w:right w:val="nil"/>
            </w:tcBorders>
            <w:shd w:val="clear" w:color="000000" w:fill="E7E8F2"/>
            <w:vAlign w:val="center"/>
            <w:hideMark/>
          </w:tcPr>
          <w:p w14:paraId="5A8ADD5F" w14:textId="77777777" w:rsidR="005B4390" w:rsidRPr="00213497" w:rsidRDefault="00EC2098" w:rsidP="005B4390">
            <w:pPr>
              <w:spacing w:after="0" w:line="240" w:lineRule="auto"/>
              <w:jc w:val="center"/>
              <w:rPr>
                <w:rFonts w:ascii="Verdana" w:hAnsi="Verdana" w:cs="Arial"/>
                <w:sz w:val="20"/>
                <w:szCs w:val="20"/>
              </w:rPr>
            </w:pPr>
            <w:r w:rsidRPr="00213497">
              <w:rPr>
                <w:rFonts w:ascii="Verdana" w:hAnsi="Verdana" w:cs="Arial"/>
                <w:sz w:val="20"/>
                <w:szCs w:val="20"/>
              </w:rPr>
              <w:t>3,27</w:t>
            </w:r>
          </w:p>
        </w:tc>
        <w:tc>
          <w:tcPr>
            <w:tcW w:w="960" w:type="dxa"/>
            <w:tcBorders>
              <w:top w:val="nil"/>
              <w:left w:val="nil"/>
              <w:bottom w:val="nil"/>
              <w:right w:val="nil"/>
            </w:tcBorders>
            <w:shd w:val="clear" w:color="000000" w:fill="E7E8F2"/>
            <w:vAlign w:val="center"/>
            <w:hideMark/>
          </w:tcPr>
          <w:p w14:paraId="1C5B7A54" w14:textId="77777777" w:rsidR="005B4390" w:rsidRPr="00213497" w:rsidRDefault="00EC2098" w:rsidP="005B4390">
            <w:pPr>
              <w:spacing w:after="0" w:line="240" w:lineRule="auto"/>
              <w:jc w:val="center"/>
              <w:rPr>
                <w:rFonts w:ascii="Verdana" w:hAnsi="Verdana" w:cs="Arial"/>
                <w:sz w:val="20"/>
                <w:szCs w:val="20"/>
              </w:rPr>
            </w:pPr>
            <w:r w:rsidRPr="00213497">
              <w:rPr>
                <w:rFonts w:ascii="Verdana" w:hAnsi="Verdana" w:cs="Arial"/>
                <w:sz w:val="20"/>
                <w:szCs w:val="20"/>
              </w:rPr>
              <w:t>3,43</w:t>
            </w:r>
          </w:p>
        </w:tc>
        <w:tc>
          <w:tcPr>
            <w:tcW w:w="960" w:type="dxa"/>
            <w:tcBorders>
              <w:top w:val="nil"/>
              <w:left w:val="nil"/>
              <w:bottom w:val="nil"/>
              <w:right w:val="nil"/>
            </w:tcBorders>
            <w:shd w:val="clear" w:color="000000" w:fill="E7E8F2"/>
            <w:vAlign w:val="center"/>
            <w:hideMark/>
          </w:tcPr>
          <w:p w14:paraId="7C70A2CE" w14:textId="77777777" w:rsidR="005B4390" w:rsidRPr="00213497" w:rsidRDefault="00EC2098" w:rsidP="005B4390">
            <w:pPr>
              <w:spacing w:after="0" w:line="240" w:lineRule="auto"/>
              <w:jc w:val="center"/>
              <w:rPr>
                <w:rFonts w:ascii="Verdana" w:hAnsi="Verdana" w:cs="Arial"/>
                <w:sz w:val="20"/>
                <w:szCs w:val="20"/>
              </w:rPr>
            </w:pPr>
            <w:r w:rsidRPr="00213497">
              <w:rPr>
                <w:rFonts w:ascii="Verdana" w:hAnsi="Verdana" w:cs="Arial"/>
                <w:sz w:val="20"/>
                <w:szCs w:val="20"/>
              </w:rPr>
              <w:t>3,58</w:t>
            </w:r>
          </w:p>
        </w:tc>
      </w:tr>
      <w:tr w:rsidR="009F2941" w14:paraId="1F39D389" w14:textId="77777777" w:rsidTr="00475785">
        <w:trPr>
          <w:trHeight w:val="300"/>
        </w:trPr>
        <w:tc>
          <w:tcPr>
            <w:tcW w:w="8260" w:type="dxa"/>
            <w:gridSpan w:val="5"/>
            <w:tcBorders>
              <w:top w:val="nil"/>
              <w:left w:val="nil"/>
              <w:bottom w:val="nil"/>
              <w:right w:val="nil"/>
            </w:tcBorders>
            <w:shd w:val="clear" w:color="000000" w:fill="CBCDE3"/>
            <w:vAlign w:val="center"/>
            <w:hideMark/>
          </w:tcPr>
          <w:p w14:paraId="38F3316E" w14:textId="77777777" w:rsidR="00475785" w:rsidRPr="00475785" w:rsidRDefault="00EC2098" w:rsidP="00475785">
            <w:pPr>
              <w:spacing w:after="0" w:line="240" w:lineRule="auto"/>
              <w:jc w:val="center"/>
              <w:rPr>
                <w:rFonts w:ascii="Verdana" w:eastAsia="Times New Roman" w:hAnsi="Verdana" w:cs="Calibri"/>
                <w:b/>
                <w:bCs/>
                <w:color w:val="000000"/>
                <w:sz w:val="20"/>
                <w:szCs w:val="20"/>
                <w:lang w:eastAsia="ru-RU"/>
              </w:rPr>
            </w:pPr>
            <w:r w:rsidRPr="00475785">
              <w:rPr>
                <w:rFonts w:ascii="Verdana" w:eastAsia="Times New Roman" w:hAnsi="Verdana" w:cs="Calibri"/>
                <w:b/>
                <w:bCs/>
                <w:color w:val="000000"/>
                <w:sz w:val="20"/>
                <w:szCs w:val="20"/>
                <w:lang w:eastAsia="ru-RU"/>
              </w:rPr>
              <w:t>Республика Казахстан</w:t>
            </w:r>
          </w:p>
        </w:tc>
        <w:tc>
          <w:tcPr>
            <w:tcW w:w="960" w:type="dxa"/>
            <w:tcBorders>
              <w:top w:val="nil"/>
              <w:left w:val="nil"/>
              <w:bottom w:val="nil"/>
              <w:right w:val="nil"/>
            </w:tcBorders>
            <w:shd w:val="clear" w:color="000000" w:fill="CBCDE3"/>
            <w:vAlign w:val="center"/>
            <w:hideMark/>
          </w:tcPr>
          <w:p w14:paraId="64BC19E2" w14:textId="77777777" w:rsidR="00475785" w:rsidRPr="00475785" w:rsidRDefault="00EC2098" w:rsidP="00475785">
            <w:pPr>
              <w:spacing w:after="0" w:line="240" w:lineRule="auto"/>
              <w:jc w:val="center"/>
              <w:rPr>
                <w:rFonts w:ascii="Verdana" w:eastAsia="Times New Roman" w:hAnsi="Verdana" w:cs="Calibri"/>
                <w:b/>
                <w:bCs/>
                <w:color w:val="000000"/>
                <w:sz w:val="20"/>
                <w:szCs w:val="20"/>
                <w:lang w:eastAsia="ru-RU"/>
              </w:rPr>
            </w:pPr>
            <w:r w:rsidRPr="00475785">
              <w:rPr>
                <w:rFonts w:ascii="Verdana" w:eastAsia="Times New Roman" w:hAnsi="Verdana" w:cs="Calibri"/>
                <w:b/>
                <w:bCs/>
                <w:color w:val="000000"/>
                <w:sz w:val="20"/>
                <w:szCs w:val="20"/>
                <w:lang w:eastAsia="ru-RU"/>
              </w:rPr>
              <w:t> </w:t>
            </w:r>
          </w:p>
        </w:tc>
      </w:tr>
      <w:tr w:rsidR="009F2941" w14:paraId="0D16374D" w14:textId="77777777" w:rsidTr="00475785">
        <w:trPr>
          <w:trHeight w:val="320"/>
        </w:trPr>
        <w:tc>
          <w:tcPr>
            <w:tcW w:w="4420" w:type="dxa"/>
            <w:tcBorders>
              <w:top w:val="nil"/>
              <w:left w:val="nil"/>
              <w:bottom w:val="nil"/>
              <w:right w:val="nil"/>
            </w:tcBorders>
            <w:shd w:val="clear" w:color="000000" w:fill="E7E8F2"/>
            <w:vAlign w:val="center"/>
            <w:hideMark/>
          </w:tcPr>
          <w:p w14:paraId="0874FFD8" w14:textId="77777777" w:rsidR="00475785" w:rsidRPr="00475785" w:rsidRDefault="00EC2098" w:rsidP="00475785">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ВВП в сопоставимых ценах</w:t>
            </w:r>
          </w:p>
        </w:tc>
        <w:tc>
          <w:tcPr>
            <w:tcW w:w="960" w:type="dxa"/>
            <w:tcBorders>
              <w:top w:val="nil"/>
              <w:left w:val="nil"/>
              <w:bottom w:val="nil"/>
              <w:right w:val="nil"/>
            </w:tcBorders>
            <w:shd w:val="clear" w:color="000000" w:fill="E7E8F2"/>
            <w:vAlign w:val="center"/>
            <w:hideMark/>
          </w:tcPr>
          <w:p w14:paraId="0B87C97A"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3</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2</w:t>
            </w:r>
          </w:p>
        </w:tc>
        <w:tc>
          <w:tcPr>
            <w:tcW w:w="960" w:type="dxa"/>
            <w:tcBorders>
              <w:top w:val="nil"/>
              <w:left w:val="nil"/>
              <w:bottom w:val="nil"/>
              <w:right w:val="nil"/>
            </w:tcBorders>
            <w:shd w:val="clear" w:color="000000" w:fill="E7E8F2"/>
            <w:vAlign w:val="center"/>
            <w:hideMark/>
          </w:tcPr>
          <w:p w14:paraId="73491626"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5</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1</w:t>
            </w:r>
          </w:p>
        </w:tc>
        <w:tc>
          <w:tcPr>
            <w:tcW w:w="960" w:type="dxa"/>
            <w:tcBorders>
              <w:top w:val="nil"/>
              <w:left w:val="nil"/>
              <w:bottom w:val="nil"/>
              <w:right w:val="nil"/>
            </w:tcBorders>
            <w:shd w:val="clear" w:color="000000" w:fill="E7E8F2"/>
            <w:vAlign w:val="center"/>
            <w:hideMark/>
          </w:tcPr>
          <w:p w14:paraId="55E39EEC"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5</w:t>
            </w:r>
            <w:r>
              <w:rPr>
                <w:rFonts w:ascii="Verdana" w:eastAsia="Times New Roman" w:hAnsi="Verdana" w:cs="Calibri"/>
                <w:color w:val="000000"/>
                <w:sz w:val="20"/>
                <w:szCs w:val="20"/>
                <w:lang w:eastAsia="ru-RU"/>
              </w:rPr>
              <w:t>,0</w:t>
            </w:r>
          </w:p>
        </w:tc>
        <w:tc>
          <w:tcPr>
            <w:tcW w:w="960" w:type="dxa"/>
            <w:tcBorders>
              <w:top w:val="nil"/>
              <w:left w:val="nil"/>
              <w:bottom w:val="nil"/>
              <w:right w:val="nil"/>
            </w:tcBorders>
            <w:shd w:val="clear" w:color="000000" w:fill="E7E8F2"/>
            <w:vAlign w:val="center"/>
            <w:hideMark/>
          </w:tcPr>
          <w:p w14:paraId="1854ABF6" w14:textId="33249939" w:rsidR="00475785" w:rsidRPr="00475785" w:rsidRDefault="00EC2098" w:rsidP="00AD19ED">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5</w:t>
            </w:r>
            <w:r w:rsidR="00D94005">
              <w:rPr>
                <w:rFonts w:ascii="Verdana" w:eastAsia="Times New Roman" w:hAnsi="Verdana" w:cs="Calibri"/>
                <w:color w:val="000000"/>
                <w:sz w:val="20"/>
                <w:szCs w:val="20"/>
                <w:lang w:eastAsia="ru-RU"/>
              </w:rPr>
              <w:t>,</w:t>
            </w:r>
            <w:r w:rsidR="00AD19ED">
              <w:rPr>
                <w:rFonts w:ascii="Verdana" w:eastAsia="Times New Roman" w:hAnsi="Verdana" w:cs="Calibri"/>
                <w:color w:val="000000"/>
                <w:sz w:val="20"/>
                <w:szCs w:val="20"/>
                <w:lang w:eastAsia="ru-RU"/>
              </w:rPr>
              <w:t>5</w:t>
            </w:r>
          </w:p>
        </w:tc>
        <w:tc>
          <w:tcPr>
            <w:tcW w:w="960" w:type="dxa"/>
            <w:tcBorders>
              <w:top w:val="nil"/>
              <w:left w:val="nil"/>
              <w:bottom w:val="nil"/>
              <w:right w:val="nil"/>
            </w:tcBorders>
            <w:shd w:val="clear" w:color="000000" w:fill="E7E8F2"/>
            <w:vAlign w:val="center"/>
            <w:hideMark/>
          </w:tcPr>
          <w:p w14:paraId="0355C93F" w14:textId="1E16F1AE" w:rsidR="00475785" w:rsidRPr="00475785" w:rsidRDefault="00EC2098" w:rsidP="00AD19ED">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5</w:t>
            </w:r>
            <w:r w:rsidR="00D94005">
              <w:rPr>
                <w:rFonts w:ascii="Verdana" w:eastAsia="Times New Roman" w:hAnsi="Verdana" w:cs="Calibri"/>
                <w:color w:val="000000"/>
                <w:sz w:val="20"/>
                <w:szCs w:val="20"/>
                <w:lang w:eastAsia="ru-RU"/>
              </w:rPr>
              <w:t>,</w:t>
            </w:r>
            <w:r w:rsidR="00AD19ED">
              <w:rPr>
                <w:rFonts w:ascii="Verdana" w:eastAsia="Times New Roman" w:hAnsi="Verdana" w:cs="Calibri"/>
                <w:color w:val="000000"/>
                <w:sz w:val="20"/>
                <w:szCs w:val="20"/>
                <w:lang w:eastAsia="ru-RU"/>
              </w:rPr>
              <w:t>5</w:t>
            </w:r>
          </w:p>
        </w:tc>
      </w:tr>
      <w:tr w:rsidR="009F2941" w14:paraId="6068E8BB" w14:textId="77777777" w:rsidTr="00475785">
        <w:trPr>
          <w:trHeight w:val="320"/>
        </w:trPr>
        <w:tc>
          <w:tcPr>
            <w:tcW w:w="4420" w:type="dxa"/>
            <w:tcBorders>
              <w:top w:val="nil"/>
              <w:left w:val="nil"/>
              <w:bottom w:val="nil"/>
              <w:right w:val="nil"/>
            </w:tcBorders>
            <w:shd w:val="clear" w:color="000000" w:fill="E7E8F2"/>
            <w:vAlign w:val="center"/>
            <w:hideMark/>
          </w:tcPr>
          <w:p w14:paraId="28544E67" w14:textId="77777777" w:rsidR="00475785" w:rsidRPr="00475785" w:rsidRDefault="00EC2098" w:rsidP="00475785">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 xml:space="preserve">Инфляция </w:t>
            </w:r>
            <w:r w:rsidRPr="00475785">
              <w:rPr>
                <w:rFonts w:ascii="Verdana" w:eastAsia="Times New Roman" w:hAnsi="Verdana" w:cs="Calibri"/>
                <w:i/>
                <w:iCs/>
                <w:color w:val="000000"/>
                <w:sz w:val="20"/>
                <w:szCs w:val="20"/>
                <w:lang w:eastAsia="ru-RU"/>
              </w:rPr>
              <w:t>(на конец периода)</w:t>
            </w:r>
          </w:p>
        </w:tc>
        <w:tc>
          <w:tcPr>
            <w:tcW w:w="960" w:type="dxa"/>
            <w:tcBorders>
              <w:top w:val="nil"/>
              <w:left w:val="nil"/>
              <w:bottom w:val="nil"/>
              <w:right w:val="nil"/>
            </w:tcBorders>
            <w:shd w:val="clear" w:color="000000" w:fill="E7E8F2"/>
            <w:vAlign w:val="center"/>
            <w:hideMark/>
          </w:tcPr>
          <w:p w14:paraId="45509F8F"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20</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3</w:t>
            </w:r>
          </w:p>
        </w:tc>
        <w:tc>
          <w:tcPr>
            <w:tcW w:w="960" w:type="dxa"/>
            <w:tcBorders>
              <w:top w:val="nil"/>
              <w:left w:val="nil"/>
              <w:bottom w:val="nil"/>
              <w:right w:val="nil"/>
            </w:tcBorders>
            <w:shd w:val="clear" w:color="000000" w:fill="E7E8F2"/>
            <w:vAlign w:val="center"/>
            <w:hideMark/>
          </w:tcPr>
          <w:p w14:paraId="4105F822"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9</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8</w:t>
            </w:r>
          </w:p>
        </w:tc>
        <w:tc>
          <w:tcPr>
            <w:tcW w:w="960" w:type="dxa"/>
            <w:tcBorders>
              <w:top w:val="nil"/>
              <w:left w:val="nil"/>
              <w:bottom w:val="nil"/>
              <w:right w:val="nil"/>
            </w:tcBorders>
            <w:shd w:val="clear" w:color="000000" w:fill="E7E8F2"/>
            <w:vAlign w:val="center"/>
            <w:hideMark/>
          </w:tcPr>
          <w:p w14:paraId="1D0CF942" w14:textId="77777777" w:rsidR="00475785" w:rsidRPr="00395A42" w:rsidRDefault="00EC2098" w:rsidP="00395A42">
            <w:pPr>
              <w:spacing w:after="0" w:line="240" w:lineRule="auto"/>
              <w:jc w:val="center"/>
              <w:rPr>
                <w:rFonts w:ascii="Verdana" w:eastAsia="Times New Roman" w:hAnsi="Verdana" w:cs="Calibri"/>
                <w:color w:val="000000"/>
                <w:sz w:val="20"/>
                <w:szCs w:val="20"/>
                <w:lang w:val="en-US" w:eastAsia="ru-RU"/>
              </w:rPr>
            </w:pPr>
            <w:r>
              <w:rPr>
                <w:rFonts w:ascii="Verdana" w:eastAsia="Times New Roman" w:hAnsi="Verdana" w:cs="Calibri"/>
                <w:color w:val="000000"/>
                <w:sz w:val="20"/>
                <w:szCs w:val="20"/>
                <w:lang w:val="en-US" w:eastAsia="ru-RU"/>
              </w:rPr>
              <w:t>8</w:t>
            </w:r>
            <w:r w:rsidR="00D94005">
              <w:rPr>
                <w:rFonts w:ascii="Verdana" w:eastAsia="Times New Roman" w:hAnsi="Verdana" w:cs="Calibri"/>
                <w:color w:val="000000"/>
                <w:sz w:val="20"/>
                <w:szCs w:val="20"/>
                <w:lang w:eastAsia="ru-RU"/>
              </w:rPr>
              <w:t>,</w:t>
            </w:r>
            <w:r>
              <w:rPr>
                <w:rFonts w:ascii="Verdana" w:eastAsia="Times New Roman" w:hAnsi="Verdana" w:cs="Calibri"/>
                <w:color w:val="000000"/>
                <w:sz w:val="20"/>
                <w:szCs w:val="20"/>
                <w:lang w:val="en-US" w:eastAsia="ru-RU"/>
              </w:rPr>
              <w:t>3</w:t>
            </w:r>
          </w:p>
        </w:tc>
        <w:tc>
          <w:tcPr>
            <w:tcW w:w="960" w:type="dxa"/>
            <w:tcBorders>
              <w:top w:val="nil"/>
              <w:left w:val="nil"/>
              <w:bottom w:val="nil"/>
              <w:right w:val="nil"/>
            </w:tcBorders>
            <w:shd w:val="clear" w:color="000000" w:fill="E7E8F2"/>
            <w:vAlign w:val="center"/>
            <w:hideMark/>
          </w:tcPr>
          <w:p w14:paraId="15C328B4" w14:textId="77777777" w:rsidR="00475785" w:rsidRPr="00395A42" w:rsidRDefault="00EC2098" w:rsidP="00395A42">
            <w:pPr>
              <w:spacing w:after="0" w:line="240" w:lineRule="auto"/>
              <w:jc w:val="center"/>
              <w:rPr>
                <w:rFonts w:ascii="Verdana" w:eastAsia="Times New Roman" w:hAnsi="Verdana" w:cs="Calibri"/>
                <w:color w:val="000000"/>
                <w:sz w:val="20"/>
                <w:szCs w:val="20"/>
                <w:lang w:val="en-US" w:eastAsia="ru-RU"/>
              </w:rPr>
            </w:pPr>
            <w:r>
              <w:rPr>
                <w:rFonts w:ascii="Verdana" w:eastAsia="Times New Roman" w:hAnsi="Verdana" w:cs="Calibri"/>
                <w:color w:val="000000"/>
                <w:sz w:val="20"/>
                <w:szCs w:val="20"/>
                <w:lang w:val="en-US" w:eastAsia="ru-RU"/>
              </w:rPr>
              <w:t>6</w:t>
            </w:r>
            <w:r w:rsidR="00D94005">
              <w:rPr>
                <w:rFonts w:ascii="Verdana" w:eastAsia="Times New Roman" w:hAnsi="Verdana" w:cs="Calibri"/>
                <w:color w:val="000000"/>
                <w:sz w:val="20"/>
                <w:szCs w:val="20"/>
                <w:lang w:eastAsia="ru-RU"/>
              </w:rPr>
              <w:t>,</w:t>
            </w:r>
            <w:r>
              <w:rPr>
                <w:rFonts w:ascii="Verdana" w:eastAsia="Times New Roman" w:hAnsi="Verdana" w:cs="Calibri"/>
                <w:color w:val="000000"/>
                <w:sz w:val="20"/>
                <w:szCs w:val="20"/>
                <w:lang w:val="en-US" w:eastAsia="ru-RU"/>
              </w:rPr>
              <w:t>3</w:t>
            </w:r>
          </w:p>
        </w:tc>
        <w:tc>
          <w:tcPr>
            <w:tcW w:w="960" w:type="dxa"/>
            <w:tcBorders>
              <w:top w:val="nil"/>
              <w:left w:val="nil"/>
              <w:bottom w:val="nil"/>
              <w:right w:val="nil"/>
            </w:tcBorders>
            <w:shd w:val="clear" w:color="000000" w:fill="E7E8F2"/>
            <w:vAlign w:val="center"/>
            <w:hideMark/>
          </w:tcPr>
          <w:p w14:paraId="7AFD3F0E" w14:textId="77777777" w:rsidR="00475785" w:rsidRPr="00395A42" w:rsidRDefault="00EC2098" w:rsidP="00395A42">
            <w:pPr>
              <w:spacing w:after="0" w:line="240" w:lineRule="auto"/>
              <w:jc w:val="center"/>
              <w:rPr>
                <w:rFonts w:ascii="Verdana" w:eastAsia="Times New Roman" w:hAnsi="Verdana" w:cs="Calibri"/>
                <w:color w:val="000000"/>
                <w:sz w:val="20"/>
                <w:szCs w:val="20"/>
                <w:lang w:val="en-US" w:eastAsia="ru-RU"/>
              </w:rPr>
            </w:pPr>
            <w:r>
              <w:rPr>
                <w:rFonts w:ascii="Verdana" w:eastAsia="Times New Roman" w:hAnsi="Verdana" w:cs="Calibri"/>
                <w:color w:val="000000"/>
                <w:sz w:val="20"/>
                <w:szCs w:val="20"/>
                <w:lang w:val="en-US" w:eastAsia="ru-RU"/>
              </w:rPr>
              <w:t>4</w:t>
            </w:r>
            <w:r w:rsidR="00D94005">
              <w:rPr>
                <w:rFonts w:ascii="Verdana" w:eastAsia="Times New Roman" w:hAnsi="Verdana" w:cs="Calibri"/>
                <w:color w:val="000000"/>
                <w:sz w:val="20"/>
                <w:szCs w:val="20"/>
                <w:lang w:eastAsia="ru-RU"/>
              </w:rPr>
              <w:t>,</w:t>
            </w:r>
            <w:r>
              <w:rPr>
                <w:rFonts w:ascii="Verdana" w:eastAsia="Times New Roman" w:hAnsi="Verdana" w:cs="Calibri"/>
                <w:color w:val="000000"/>
                <w:sz w:val="20"/>
                <w:szCs w:val="20"/>
                <w:lang w:val="en-US" w:eastAsia="ru-RU"/>
              </w:rPr>
              <w:t>8</w:t>
            </w:r>
          </w:p>
        </w:tc>
      </w:tr>
      <w:tr w:rsidR="009F2941" w14:paraId="1698C8BB" w14:textId="77777777" w:rsidTr="00475785">
        <w:trPr>
          <w:trHeight w:val="320"/>
        </w:trPr>
        <w:tc>
          <w:tcPr>
            <w:tcW w:w="4420" w:type="dxa"/>
            <w:tcBorders>
              <w:top w:val="nil"/>
              <w:left w:val="nil"/>
              <w:bottom w:val="nil"/>
              <w:right w:val="nil"/>
            </w:tcBorders>
            <w:shd w:val="clear" w:color="000000" w:fill="E7E8F2"/>
            <w:vAlign w:val="center"/>
            <w:hideMark/>
          </w:tcPr>
          <w:p w14:paraId="33B53676" w14:textId="77777777" w:rsidR="00475785" w:rsidRPr="00475785" w:rsidRDefault="00EC2098" w:rsidP="00475785">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Ставка TONIA (в среднем за год)</w:t>
            </w:r>
            <w:r w:rsidR="00D94005">
              <w:rPr>
                <w:rFonts w:ascii="Verdana" w:eastAsia="Times New Roman" w:hAnsi="Verdana" w:cs="Calibri"/>
                <w:bCs/>
                <w:color w:val="000000"/>
                <w:sz w:val="20"/>
                <w:szCs w:val="20"/>
                <w:lang w:eastAsia="ru-RU"/>
              </w:rPr>
              <w:t>,</w:t>
            </w:r>
            <w:r w:rsidRPr="00475785">
              <w:rPr>
                <w:rFonts w:ascii="Verdana" w:eastAsia="Times New Roman" w:hAnsi="Verdana" w:cs="Calibri"/>
                <w:bCs/>
                <w:color w:val="000000"/>
                <w:sz w:val="20"/>
                <w:szCs w:val="20"/>
                <w:lang w:eastAsia="ru-RU"/>
              </w:rPr>
              <w:t xml:space="preserve"> %</w:t>
            </w:r>
          </w:p>
        </w:tc>
        <w:tc>
          <w:tcPr>
            <w:tcW w:w="960" w:type="dxa"/>
            <w:tcBorders>
              <w:top w:val="nil"/>
              <w:left w:val="nil"/>
              <w:bottom w:val="nil"/>
              <w:right w:val="nil"/>
            </w:tcBorders>
            <w:shd w:val="clear" w:color="000000" w:fill="E7E8F2"/>
            <w:vAlign w:val="center"/>
            <w:hideMark/>
          </w:tcPr>
          <w:p w14:paraId="49F70F41" w14:textId="77777777" w:rsidR="00475785" w:rsidRPr="00395A42" w:rsidRDefault="00EC2098" w:rsidP="00395A42">
            <w:pPr>
              <w:spacing w:after="0" w:line="240" w:lineRule="auto"/>
              <w:jc w:val="center"/>
              <w:rPr>
                <w:rFonts w:ascii="Verdana" w:eastAsia="Times New Roman" w:hAnsi="Verdana" w:cs="Calibri"/>
                <w:color w:val="000000"/>
                <w:sz w:val="20"/>
                <w:szCs w:val="20"/>
                <w:lang w:val="en-US" w:eastAsia="ru-RU"/>
              </w:rPr>
            </w:pPr>
            <w:r w:rsidRPr="00475785">
              <w:rPr>
                <w:rFonts w:ascii="Verdana" w:eastAsia="Times New Roman" w:hAnsi="Verdana" w:cs="Calibri"/>
                <w:color w:val="000000"/>
                <w:sz w:val="20"/>
                <w:szCs w:val="20"/>
                <w:lang w:eastAsia="ru-RU"/>
              </w:rPr>
              <w:t>13</w:t>
            </w:r>
            <w:r w:rsidR="00D94005">
              <w:rPr>
                <w:rFonts w:ascii="Verdana" w:eastAsia="Times New Roman" w:hAnsi="Verdana" w:cs="Calibri"/>
                <w:color w:val="000000"/>
                <w:sz w:val="20"/>
                <w:szCs w:val="20"/>
                <w:lang w:eastAsia="ru-RU"/>
              </w:rPr>
              <w:t>,</w:t>
            </w:r>
            <w:r w:rsidR="00395A42">
              <w:rPr>
                <w:rFonts w:ascii="Verdana" w:eastAsia="Times New Roman" w:hAnsi="Verdana" w:cs="Calibri"/>
                <w:color w:val="000000"/>
                <w:sz w:val="20"/>
                <w:szCs w:val="20"/>
                <w:lang w:val="en-US" w:eastAsia="ru-RU"/>
              </w:rPr>
              <w:t>9</w:t>
            </w:r>
          </w:p>
        </w:tc>
        <w:tc>
          <w:tcPr>
            <w:tcW w:w="960" w:type="dxa"/>
            <w:tcBorders>
              <w:top w:val="nil"/>
              <w:left w:val="nil"/>
              <w:bottom w:val="nil"/>
              <w:right w:val="nil"/>
            </w:tcBorders>
            <w:shd w:val="clear" w:color="000000" w:fill="E7E8F2"/>
            <w:vAlign w:val="center"/>
            <w:hideMark/>
          </w:tcPr>
          <w:p w14:paraId="261107E8"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16</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4</w:t>
            </w:r>
          </w:p>
        </w:tc>
        <w:tc>
          <w:tcPr>
            <w:tcW w:w="960" w:type="dxa"/>
            <w:tcBorders>
              <w:top w:val="nil"/>
              <w:left w:val="nil"/>
              <w:bottom w:val="nil"/>
              <w:right w:val="nil"/>
            </w:tcBorders>
            <w:shd w:val="clear" w:color="000000" w:fill="E7E8F2"/>
            <w:vAlign w:val="center"/>
            <w:hideMark/>
          </w:tcPr>
          <w:p w14:paraId="76691A35" w14:textId="77777777" w:rsidR="00475785" w:rsidRPr="00395A42" w:rsidRDefault="00EC2098" w:rsidP="00395A42">
            <w:pPr>
              <w:spacing w:after="0" w:line="240" w:lineRule="auto"/>
              <w:jc w:val="center"/>
              <w:rPr>
                <w:rFonts w:ascii="Verdana" w:eastAsia="Times New Roman" w:hAnsi="Verdana" w:cs="Calibri"/>
                <w:color w:val="000000"/>
                <w:sz w:val="20"/>
                <w:szCs w:val="20"/>
                <w:lang w:val="en-US" w:eastAsia="ru-RU"/>
              </w:rPr>
            </w:pPr>
            <w:r w:rsidRPr="00475785">
              <w:rPr>
                <w:rFonts w:ascii="Verdana" w:eastAsia="Times New Roman" w:hAnsi="Verdana" w:cs="Calibri"/>
                <w:color w:val="000000"/>
                <w:sz w:val="20"/>
                <w:szCs w:val="20"/>
                <w:lang w:eastAsia="ru-RU"/>
              </w:rPr>
              <w:t>1</w:t>
            </w:r>
            <w:r w:rsidR="00395A42">
              <w:rPr>
                <w:rFonts w:ascii="Verdana" w:eastAsia="Times New Roman" w:hAnsi="Verdana" w:cs="Calibri"/>
                <w:color w:val="000000"/>
                <w:sz w:val="20"/>
                <w:szCs w:val="20"/>
                <w:lang w:val="en-US" w:eastAsia="ru-RU"/>
              </w:rPr>
              <w:t>3</w:t>
            </w:r>
            <w:r w:rsidR="00D94005">
              <w:rPr>
                <w:rFonts w:ascii="Verdana" w:eastAsia="Times New Roman" w:hAnsi="Verdana" w:cs="Calibri"/>
                <w:color w:val="000000"/>
                <w:sz w:val="20"/>
                <w:szCs w:val="20"/>
                <w:lang w:eastAsia="ru-RU"/>
              </w:rPr>
              <w:t>,</w:t>
            </w:r>
            <w:r w:rsidR="00395A42">
              <w:rPr>
                <w:rFonts w:ascii="Verdana" w:eastAsia="Times New Roman" w:hAnsi="Verdana" w:cs="Calibri"/>
                <w:color w:val="000000"/>
                <w:sz w:val="20"/>
                <w:szCs w:val="20"/>
                <w:lang w:val="en-US" w:eastAsia="ru-RU"/>
              </w:rPr>
              <w:t>4</w:t>
            </w:r>
          </w:p>
        </w:tc>
        <w:tc>
          <w:tcPr>
            <w:tcW w:w="960" w:type="dxa"/>
            <w:tcBorders>
              <w:top w:val="nil"/>
              <w:left w:val="nil"/>
              <w:bottom w:val="nil"/>
              <w:right w:val="nil"/>
            </w:tcBorders>
            <w:shd w:val="clear" w:color="000000" w:fill="E7E8F2"/>
            <w:vAlign w:val="center"/>
            <w:hideMark/>
          </w:tcPr>
          <w:p w14:paraId="391F55AC" w14:textId="77777777" w:rsidR="00475785" w:rsidRPr="00395A42" w:rsidRDefault="00EC2098" w:rsidP="00395A42">
            <w:pPr>
              <w:spacing w:after="0" w:line="240" w:lineRule="auto"/>
              <w:jc w:val="center"/>
              <w:rPr>
                <w:rFonts w:ascii="Verdana" w:eastAsia="Times New Roman" w:hAnsi="Verdana" w:cs="Calibri"/>
                <w:color w:val="000000"/>
                <w:sz w:val="20"/>
                <w:szCs w:val="20"/>
                <w:lang w:val="en-US" w:eastAsia="ru-RU"/>
              </w:rPr>
            </w:pPr>
            <w:r w:rsidRPr="00475785">
              <w:rPr>
                <w:rFonts w:ascii="Verdana" w:eastAsia="Times New Roman" w:hAnsi="Verdana" w:cs="Calibri"/>
                <w:color w:val="000000"/>
                <w:sz w:val="20"/>
                <w:szCs w:val="20"/>
                <w:lang w:eastAsia="ru-RU"/>
              </w:rPr>
              <w:t>9</w:t>
            </w:r>
            <w:r w:rsidR="00D94005">
              <w:rPr>
                <w:rFonts w:ascii="Verdana" w:eastAsia="Times New Roman" w:hAnsi="Verdana" w:cs="Calibri"/>
                <w:color w:val="000000"/>
                <w:sz w:val="20"/>
                <w:szCs w:val="20"/>
                <w:lang w:eastAsia="ru-RU"/>
              </w:rPr>
              <w:t>,</w:t>
            </w:r>
            <w:r w:rsidR="00395A42">
              <w:rPr>
                <w:rFonts w:ascii="Verdana" w:eastAsia="Times New Roman" w:hAnsi="Verdana" w:cs="Calibri"/>
                <w:color w:val="000000"/>
                <w:sz w:val="20"/>
                <w:szCs w:val="20"/>
                <w:lang w:val="en-US" w:eastAsia="ru-RU"/>
              </w:rPr>
              <w:t>4</w:t>
            </w:r>
          </w:p>
        </w:tc>
        <w:tc>
          <w:tcPr>
            <w:tcW w:w="960" w:type="dxa"/>
            <w:tcBorders>
              <w:top w:val="nil"/>
              <w:left w:val="nil"/>
              <w:bottom w:val="nil"/>
              <w:right w:val="nil"/>
            </w:tcBorders>
            <w:shd w:val="clear" w:color="000000" w:fill="E7E8F2"/>
            <w:vAlign w:val="center"/>
            <w:hideMark/>
          </w:tcPr>
          <w:p w14:paraId="0226690D" w14:textId="77777777" w:rsidR="00475785" w:rsidRPr="00395A42" w:rsidRDefault="00EC2098" w:rsidP="00475785">
            <w:pPr>
              <w:spacing w:after="0" w:line="240" w:lineRule="auto"/>
              <w:jc w:val="center"/>
              <w:rPr>
                <w:rFonts w:ascii="Verdana" w:eastAsia="Times New Roman" w:hAnsi="Verdana" w:cs="Calibri"/>
                <w:color w:val="000000"/>
                <w:sz w:val="20"/>
                <w:szCs w:val="20"/>
                <w:lang w:val="en-US" w:eastAsia="ru-RU"/>
              </w:rPr>
            </w:pPr>
            <w:r>
              <w:rPr>
                <w:rFonts w:ascii="Verdana" w:eastAsia="Times New Roman" w:hAnsi="Verdana" w:cs="Calibri"/>
                <w:color w:val="000000"/>
                <w:sz w:val="20"/>
                <w:szCs w:val="20"/>
                <w:lang w:val="en-US" w:eastAsia="ru-RU"/>
              </w:rPr>
              <w:t>7,5</w:t>
            </w:r>
          </w:p>
        </w:tc>
      </w:tr>
      <w:tr w:rsidR="009F2941" w14:paraId="4BEB5EC6" w14:textId="77777777" w:rsidTr="00475785">
        <w:trPr>
          <w:trHeight w:val="320"/>
        </w:trPr>
        <w:tc>
          <w:tcPr>
            <w:tcW w:w="4420" w:type="dxa"/>
            <w:tcBorders>
              <w:top w:val="nil"/>
              <w:left w:val="nil"/>
              <w:bottom w:val="nil"/>
              <w:right w:val="nil"/>
            </w:tcBorders>
            <w:shd w:val="clear" w:color="000000" w:fill="E7E8F2"/>
            <w:vAlign w:val="center"/>
            <w:hideMark/>
          </w:tcPr>
          <w:p w14:paraId="7E595977" w14:textId="77777777" w:rsidR="00475785" w:rsidRPr="00475785" w:rsidRDefault="00EC2098" w:rsidP="00475785">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 xml:space="preserve">Курс тенге к доллару </w:t>
            </w:r>
            <w:r w:rsidRPr="00475785">
              <w:rPr>
                <w:rFonts w:ascii="Verdana" w:eastAsia="Times New Roman" w:hAnsi="Verdana" w:cs="Calibri"/>
                <w:i/>
                <w:iCs/>
                <w:color w:val="000000"/>
                <w:sz w:val="20"/>
                <w:szCs w:val="20"/>
                <w:lang w:eastAsia="ru-RU"/>
              </w:rPr>
              <w:t>(в среднем за год)</w:t>
            </w:r>
          </w:p>
        </w:tc>
        <w:tc>
          <w:tcPr>
            <w:tcW w:w="960" w:type="dxa"/>
            <w:tcBorders>
              <w:top w:val="nil"/>
              <w:left w:val="nil"/>
              <w:bottom w:val="nil"/>
              <w:right w:val="nil"/>
            </w:tcBorders>
            <w:shd w:val="clear" w:color="000000" w:fill="E7E8F2"/>
            <w:vAlign w:val="center"/>
            <w:hideMark/>
          </w:tcPr>
          <w:p w14:paraId="44CA2F87"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460</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5</w:t>
            </w:r>
          </w:p>
        </w:tc>
        <w:tc>
          <w:tcPr>
            <w:tcW w:w="960" w:type="dxa"/>
            <w:tcBorders>
              <w:top w:val="nil"/>
              <w:left w:val="nil"/>
              <w:bottom w:val="nil"/>
              <w:right w:val="nil"/>
            </w:tcBorders>
            <w:shd w:val="clear" w:color="000000" w:fill="E7E8F2"/>
            <w:vAlign w:val="center"/>
            <w:hideMark/>
          </w:tcPr>
          <w:p w14:paraId="1B8E2D48"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456</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3</w:t>
            </w:r>
          </w:p>
        </w:tc>
        <w:tc>
          <w:tcPr>
            <w:tcW w:w="960" w:type="dxa"/>
            <w:tcBorders>
              <w:top w:val="nil"/>
              <w:left w:val="nil"/>
              <w:bottom w:val="nil"/>
              <w:right w:val="nil"/>
            </w:tcBorders>
            <w:shd w:val="clear" w:color="000000" w:fill="E7E8F2"/>
            <w:vAlign w:val="center"/>
            <w:hideMark/>
          </w:tcPr>
          <w:p w14:paraId="386BD176" w14:textId="77777777" w:rsidR="00475785" w:rsidRPr="00395A42" w:rsidRDefault="00EC2098" w:rsidP="00395A42">
            <w:pPr>
              <w:spacing w:after="0" w:line="240" w:lineRule="auto"/>
              <w:jc w:val="center"/>
              <w:rPr>
                <w:rFonts w:ascii="Verdana" w:eastAsia="Times New Roman" w:hAnsi="Verdana" w:cs="Calibri"/>
                <w:color w:val="000000"/>
                <w:sz w:val="20"/>
                <w:szCs w:val="20"/>
                <w:lang w:val="en-US" w:eastAsia="ru-RU"/>
              </w:rPr>
            </w:pPr>
            <w:r w:rsidRPr="00475785">
              <w:rPr>
                <w:rFonts w:ascii="Verdana" w:eastAsia="Times New Roman" w:hAnsi="Verdana" w:cs="Calibri"/>
                <w:color w:val="000000"/>
                <w:sz w:val="20"/>
                <w:szCs w:val="20"/>
                <w:lang w:eastAsia="ru-RU"/>
              </w:rPr>
              <w:t>4</w:t>
            </w:r>
            <w:r w:rsidR="00395A42">
              <w:rPr>
                <w:rFonts w:ascii="Verdana" w:eastAsia="Times New Roman" w:hAnsi="Verdana" w:cs="Calibri"/>
                <w:color w:val="000000"/>
                <w:sz w:val="20"/>
                <w:szCs w:val="20"/>
                <w:lang w:val="en-US" w:eastAsia="ru-RU"/>
              </w:rPr>
              <w:t>47</w:t>
            </w:r>
            <w:r w:rsidR="00D94005">
              <w:rPr>
                <w:rFonts w:ascii="Verdana" w:eastAsia="Times New Roman" w:hAnsi="Verdana" w:cs="Calibri"/>
                <w:color w:val="000000"/>
                <w:sz w:val="20"/>
                <w:szCs w:val="20"/>
                <w:lang w:eastAsia="ru-RU"/>
              </w:rPr>
              <w:t>,</w:t>
            </w:r>
            <w:r w:rsidR="00395A42">
              <w:rPr>
                <w:rFonts w:ascii="Verdana" w:eastAsia="Times New Roman" w:hAnsi="Verdana" w:cs="Calibri"/>
                <w:color w:val="000000"/>
                <w:sz w:val="20"/>
                <w:szCs w:val="20"/>
                <w:lang w:val="en-US" w:eastAsia="ru-RU"/>
              </w:rPr>
              <w:t>1</w:t>
            </w:r>
          </w:p>
        </w:tc>
        <w:tc>
          <w:tcPr>
            <w:tcW w:w="960" w:type="dxa"/>
            <w:tcBorders>
              <w:top w:val="nil"/>
              <w:left w:val="nil"/>
              <w:bottom w:val="nil"/>
              <w:right w:val="nil"/>
            </w:tcBorders>
            <w:shd w:val="clear" w:color="000000" w:fill="E7E8F2"/>
            <w:vAlign w:val="center"/>
            <w:hideMark/>
          </w:tcPr>
          <w:p w14:paraId="1B4F7F73" w14:textId="77777777" w:rsidR="00475785" w:rsidRPr="00395A42" w:rsidRDefault="00EC2098" w:rsidP="00395A42">
            <w:pPr>
              <w:spacing w:after="0" w:line="240" w:lineRule="auto"/>
              <w:jc w:val="center"/>
              <w:rPr>
                <w:rFonts w:ascii="Verdana" w:eastAsia="Times New Roman" w:hAnsi="Verdana" w:cs="Calibri"/>
                <w:color w:val="000000"/>
                <w:sz w:val="20"/>
                <w:szCs w:val="20"/>
                <w:lang w:val="en-US" w:eastAsia="ru-RU"/>
              </w:rPr>
            </w:pPr>
            <w:r w:rsidRPr="00475785">
              <w:rPr>
                <w:rFonts w:ascii="Verdana" w:eastAsia="Times New Roman" w:hAnsi="Verdana" w:cs="Calibri"/>
                <w:color w:val="000000"/>
                <w:sz w:val="20"/>
                <w:szCs w:val="20"/>
                <w:lang w:eastAsia="ru-RU"/>
              </w:rPr>
              <w:t>4</w:t>
            </w:r>
            <w:r w:rsidR="00395A42">
              <w:rPr>
                <w:rFonts w:ascii="Verdana" w:eastAsia="Times New Roman" w:hAnsi="Verdana" w:cs="Calibri"/>
                <w:color w:val="000000"/>
                <w:sz w:val="20"/>
                <w:szCs w:val="20"/>
                <w:lang w:val="en-US" w:eastAsia="ru-RU"/>
              </w:rPr>
              <w:t>55,4</w:t>
            </w:r>
          </w:p>
        </w:tc>
        <w:tc>
          <w:tcPr>
            <w:tcW w:w="960" w:type="dxa"/>
            <w:tcBorders>
              <w:top w:val="nil"/>
              <w:left w:val="nil"/>
              <w:bottom w:val="nil"/>
              <w:right w:val="nil"/>
            </w:tcBorders>
            <w:shd w:val="clear" w:color="000000" w:fill="E7E8F2"/>
            <w:vAlign w:val="center"/>
            <w:hideMark/>
          </w:tcPr>
          <w:p w14:paraId="53D9219D" w14:textId="77777777" w:rsidR="00475785" w:rsidRPr="00475785" w:rsidRDefault="00EC2098" w:rsidP="00395A42">
            <w:pPr>
              <w:spacing w:after="0" w:line="240" w:lineRule="auto"/>
              <w:jc w:val="center"/>
              <w:rPr>
                <w:rFonts w:ascii="Verdana" w:eastAsia="Times New Roman" w:hAnsi="Verdana" w:cs="Calibri"/>
                <w:color w:val="000000"/>
                <w:sz w:val="20"/>
                <w:szCs w:val="20"/>
                <w:lang w:eastAsia="ru-RU"/>
              </w:rPr>
            </w:pPr>
            <w:r>
              <w:rPr>
                <w:rFonts w:ascii="Verdana" w:eastAsia="Times New Roman" w:hAnsi="Verdana" w:cs="Calibri"/>
                <w:color w:val="000000"/>
                <w:sz w:val="20"/>
                <w:szCs w:val="20"/>
                <w:lang w:val="en-US" w:eastAsia="ru-RU"/>
              </w:rPr>
              <w:t>473,3</w:t>
            </w:r>
          </w:p>
        </w:tc>
      </w:tr>
      <w:tr w:rsidR="009F2941" w14:paraId="3A50D369" w14:textId="77777777" w:rsidTr="00475785">
        <w:trPr>
          <w:trHeight w:val="300"/>
        </w:trPr>
        <w:tc>
          <w:tcPr>
            <w:tcW w:w="8260" w:type="dxa"/>
            <w:gridSpan w:val="5"/>
            <w:tcBorders>
              <w:top w:val="nil"/>
              <w:left w:val="nil"/>
              <w:bottom w:val="nil"/>
              <w:right w:val="nil"/>
            </w:tcBorders>
            <w:shd w:val="clear" w:color="000000" w:fill="CBCDE3"/>
            <w:vAlign w:val="center"/>
            <w:hideMark/>
          </w:tcPr>
          <w:p w14:paraId="1F9FAA7F" w14:textId="77777777" w:rsidR="00475785" w:rsidRPr="00475785" w:rsidRDefault="00EC2098" w:rsidP="00475785">
            <w:pPr>
              <w:spacing w:after="0" w:line="240" w:lineRule="auto"/>
              <w:jc w:val="center"/>
              <w:rPr>
                <w:rFonts w:ascii="Verdana" w:eastAsia="Times New Roman" w:hAnsi="Verdana" w:cs="Calibri"/>
                <w:b/>
                <w:bCs/>
                <w:color w:val="000000"/>
                <w:sz w:val="20"/>
                <w:szCs w:val="20"/>
                <w:lang w:eastAsia="ru-RU"/>
              </w:rPr>
            </w:pPr>
            <w:proofErr w:type="spellStart"/>
            <w:r w:rsidRPr="00475785">
              <w:rPr>
                <w:rFonts w:ascii="Verdana" w:eastAsia="Times New Roman" w:hAnsi="Verdana" w:cs="Calibri"/>
                <w:b/>
                <w:bCs/>
                <w:color w:val="000000"/>
                <w:sz w:val="20"/>
                <w:szCs w:val="20"/>
                <w:lang w:eastAsia="ru-RU"/>
              </w:rPr>
              <w:t>Кыргызская</w:t>
            </w:r>
            <w:proofErr w:type="spellEnd"/>
            <w:r w:rsidRPr="00475785">
              <w:rPr>
                <w:rFonts w:ascii="Verdana" w:eastAsia="Times New Roman" w:hAnsi="Verdana" w:cs="Calibri"/>
                <w:b/>
                <w:bCs/>
                <w:color w:val="000000"/>
                <w:sz w:val="20"/>
                <w:szCs w:val="20"/>
                <w:lang w:eastAsia="ru-RU"/>
              </w:rPr>
              <w:t xml:space="preserve"> Республика</w:t>
            </w:r>
          </w:p>
        </w:tc>
        <w:tc>
          <w:tcPr>
            <w:tcW w:w="960" w:type="dxa"/>
            <w:tcBorders>
              <w:top w:val="nil"/>
              <w:left w:val="nil"/>
              <w:bottom w:val="nil"/>
              <w:right w:val="nil"/>
            </w:tcBorders>
            <w:shd w:val="clear" w:color="000000" w:fill="CBCDE3"/>
            <w:vAlign w:val="center"/>
            <w:hideMark/>
          </w:tcPr>
          <w:p w14:paraId="4B5C9870" w14:textId="77777777" w:rsidR="00475785" w:rsidRPr="00475785" w:rsidRDefault="00EC2098" w:rsidP="00475785">
            <w:pPr>
              <w:spacing w:after="0" w:line="240" w:lineRule="auto"/>
              <w:jc w:val="center"/>
              <w:rPr>
                <w:rFonts w:ascii="Verdana" w:eastAsia="Times New Roman" w:hAnsi="Verdana" w:cs="Calibri"/>
                <w:b/>
                <w:bCs/>
                <w:color w:val="000000"/>
                <w:sz w:val="20"/>
                <w:szCs w:val="20"/>
                <w:lang w:eastAsia="ru-RU"/>
              </w:rPr>
            </w:pPr>
            <w:r w:rsidRPr="00475785">
              <w:rPr>
                <w:rFonts w:ascii="Verdana" w:eastAsia="Times New Roman" w:hAnsi="Verdana" w:cs="Calibri"/>
                <w:b/>
                <w:bCs/>
                <w:color w:val="000000"/>
                <w:sz w:val="20"/>
                <w:szCs w:val="20"/>
                <w:lang w:eastAsia="ru-RU"/>
              </w:rPr>
              <w:t> </w:t>
            </w:r>
          </w:p>
        </w:tc>
      </w:tr>
      <w:tr w:rsidR="009F2941" w14:paraId="1DB097CA" w14:textId="77777777" w:rsidTr="00475785">
        <w:trPr>
          <w:trHeight w:val="320"/>
        </w:trPr>
        <w:tc>
          <w:tcPr>
            <w:tcW w:w="4420" w:type="dxa"/>
            <w:tcBorders>
              <w:top w:val="nil"/>
              <w:left w:val="nil"/>
              <w:bottom w:val="nil"/>
              <w:right w:val="nil"/>
            </w:tcBorders>
            <w:shd w:val="clear" w:color="000000" w:fill="E7E8F2"/>
            <w:vAlign w:val="center"/>
            <w:hideMark/>
          </w:tcPr>
          <w:p w14:paraId="49CB2B00" w14:textId="77777777" w:rsidR="00475785" w:rsidRPr="00475785" w:rsidRDefault="00EC2098" w:rsidP="00475785">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ВВП в сопоставимых ценах</w:t>
            </w:r>
          </w:p>
        </w:tc>
        <w:tc>
          <w:tcPr>
            <w:tcW w:w="960" w:type="dxa"/>
            <w:tcBorders>
              <w:top w:val="nil"/>
              <w:left w:val="nil"/>
              <w:bottom w:val="nil"/>
              <w:right w:val="nil"/>
            </w:tcBorders>
            <w:shd w:val="clear" w:color="000000" w:fill="E7E8F2"/>
            <w:vAlign w:val="center"/>
            <w:hideMark/>
          </w:tcPr>
          <w:p w14:paraId="123D8043"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9</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0</w:t>
            </w:r>
          </w:p>
        </w:tc>
        <w:tc>
          <w:tcPr>
            <w:tcW w:w="960" w:type="dxa"/>
            <w:tcBorders>
              <w:top w:val="nil"/>
              <w:left w:val="nil"/>
              <w:bottom w:val="nil"/>
              <w:right w:val="nil"/>
            </w:tcBorders>
            <w:shd w:val="clear" w:color="000000" w:fill="E7E8F2"/>
            <w:vAlign w:val="center"/>
            <w:hideMark/>
          </w:tcPr>
          <w:p w14:paraId="5C6E34F9"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6</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2</w:t>
            </w:r>
          </w:p>
        </w:tc>
        <w:tc>
          <w:tcPr>
            <w:tcW w:w="960" w:type="dxa"/>
            <w:tcBorders>
              <w:top w:val="nil"/>
              <w:left w:val="nil"/>
              <w:bottom w:val="nil"/>
              <w:right w:val="nil"/>
            </w:tcBorders>
            <w:shd w:val="clear" w:color="000000" w:fill="E7E8F2"/>
            <w:vAlign w:val="center"/>
            <w:hideMark/>
          </w:tcPr>
          <w:p w14:paraId="0AF31BDD"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5</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5</w:t>
            </w:r>
          </w:p>
        </w:tc>
        <w:tc>
          <w:tcPr>
            <w:tcW w:w="960" w:type="dxa"/>
            <w:tcBorders>
              <w:top w:val="nil"/>
              <w:left w:val="nil"/>
              <w:bottom w:val="nil"/>
              <w:right w:val="nil"/>
            </w:tcBorders>
            <w:shd w:val="clear" w:color="000000" w:fill="E7E8F2"/>
            <w:vAlign w:val="center"/>
            <w:hideMark/>
          </w:tcPr>
          <w:p w14:paraId="2B8093E0" w14:textId="1CAD6947" w:rsidR="00475785" w:rsidRPr="00475785" w:rsidRDefault="00AD19ED" w:rsidP="00AD19ED">
            <w:pPr>
              <w:spacing w:after="0" w:line="240" w:lineRule="auto"/>
              <w:jc w:val="center"/>
              <w:rPr>
                <w:rFonts w:ascii="Verdana" w:eastAsia="Times New Roman" w:hAnsi="Verdana" w:cs="Calibri"/>
                <w:color w:val="000000"/>
                <w:sz w:val="20"/>
                <w:szCs w:val="20"/>
                <w:lang w:eastAsia="ru-RU"/>
              </w:rPr>
            </w:pPr>
            <w:r>
              <w:rPr>
                <w:rFonts w:ascii="Verdana" w:eastAsia="Times New Roman" w:hAnsi="Verdana" w:cs="Calibri"/>
                <w:color w:val="000000"/>
                <w:sz w:val="20"/>
                <w:szCs w:val="20"/>
                <w:lang w:eastAsia="ru-RU"/>
              </w:rPr>
              <w:t>5</w:t>
            </w:r>
            <w:r w:rsidR="00D94005">
              <w:rPr>
                <w:rFonts w:ascii="Verdana" w:eastAsia="Times New Roman" w:hAnsi="Verdana" w:cs="Calibri"/>
                <w:color w:val="000000"/>
                <w:sz w:val="20"/>
                <w:szCs w:val="20"/>
                <w:lang w:eastAsia="ru-RU"/>
              </w:rPr>
              <w:t>,</w:t>
            </w:r>
            <w:r>
              <w:rPr>
                <w:rFonts w:ascii="Verdana" w:eastAsia="Times New Roman" w:hAnsi="Verdana" w:cs="Calibri"/>
                <w:color w:val="000000"/>
                <w:sz w:val="20"/>
                <w:szCs w:val="20"/>
                <w:lang w:eastAsia="ru-RU"/>
              </w:rPr>
              <w:t>3</w:t>
            </w:r>
          </w:p>
        </w:tc>
        <w:tc>
          <w:tcPr>
            <w:tcW w:w="960" w:type="dxa"/>
            <w:tcBorders>
              <w:top w:val="nil"/>
              <w:left w:val="nil"/>
              <w:bottom w:val="nil"/>
              <w:right w:val="nil"/>
            </w:tcBorders>
            <w:shd w:val="clear" w:color="000000" w:fill="E7E8F2"/>
            <w:vAlign w:val="center"/>
            <w:hideMark/>
          </w:tcPr>
          <w:p w14:paraId="7EB5C0C1" w14:textId="4F050840" w:rsidR="00475785" w:rsidRPr="00475785" w:rsidRDefault="00AD19ED" w:rsidP="00AD19ED">
            <w:pPr>
              <w:spacing w:after="0" w:line="240" w:lineRule="auto"/>
              <w:jc w:val="center"/>
              <w:rPr>
                <w:rFonts w:ascii="Verdana" w:eastAsia="Times New Roman" w:hAnsi="Verdana" w:cs="Calibri"/>
                <w:color w:val="000000"/>
                <w:sz w:val="20"/>
                <w:szCs w:val="20"/>
                <w:lang w:eastAsia="ru-RU"/>
              </w:rPr>
            </w:pPr>
            <w:r>
              <w:rPr>
                <w:rFonts w:ascii="Verdana" w:eastAsia="Times New Roman" w:hAnsi="Verdana" w:cs="Calibri"/>
                <w:color w:val="000000"/>
                <w:sz w:val="20"/>
                <w:szCs w:val="20"/>
                <w:lang w:eastAsia="ru-RU"/>
              </w:rPr>
              <w:t>4</w:t>
            </w:r>
            <w:r w:rsidR="00D94005">
              <w:rPr>
                <w:rFonts w:ascii="Verdana" w:eastAsia="Times New Roman" w:hAnsi="Verdana" w:cs="Calibri"/>
                <w:color w:val="000000"/>
                <w:sz w:val="20"/>
                <w:szCs w:val="20"/>
                <w:lang w:eastAsia="ru-RU"/>
              </w:rPr>
              <w:t>,</w:t>
            </w:r>
            <w:r>
              <w:rPr>
                <w:rFonts w:ascii="Verdana" w:eastAsia="Times New Roman" w:hAnsi="Verdana" w:cs="Calibri"/>
                <w:color w:val="000000"/>
                <w:sz w:val="20"/>
                <w:szCs w:val="20"/>
                <w:lang w:eastAsia="ru-RU"/>
              </w:rPr>
              <w:t>1</w:t>
            </w:r>
          </w:p>
        </w:tc>
      </w:tr>
      <w:tr w:rsidR="009F2941" w14:paraId="1468FA47" w14:textId="77777777" w:rsidTr="00475785">
        <w:trPr>
          <w:trHeight w:val="320"/>
        </w:trPr>
        <w:tc>
          <w:tcPr>
            <w:tcW w:w="4420" w:type="dxa"/>
            <w:tcBorders>
              <w:top w:val="nil"/>
              <w:left w:val="nil"/>
              <w:bottom w:val="nil"/>
              <w:right w:val="nil"/>
            </w:tcBorders>
            <w:shd w:val="clear" w:color="000000" w:fill="E7E8F2"/>
            <w:vAlign w:val="center"/>
            <w:hideMark/>
          </w:tcPr>
          <w:p w14:paraId="1ABBD49C" w14:textId="77777777" w:rsidR="00475785" w:rsidRPr="00475785" w:rsidRDefault="00EC2098" w:rsidP="00475785">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 xml:space="preserve">Инфляция </w:t>
            </w:r>
            <w:r w:rsidRPr="00475785">
              <w:rPr>
                <w:rFonts w:ascii="Verdana" w:eastAsia="Times New Roman" w:hAnsi="Verdana" w:cs="Calibri"/>
                <w:i/>
                <w:iCs/>
                <w:color w:val="000000"/>
                <w:sz w:val="20"/>
                <w:szCs w:val="20"/>
                <w:lang w:eastAsia="ru-RU"/>
              </w:rPr>
              <w:t>(на конец периода)</w:t>
            </w:r>
          </w:p>
        </w:tc>
        <w:tc>
          <w:tcPr>
            <w:tcW w:w="960" w:type="dxa"/>
            <w:tcBorders>
              <w:top w:val="nil"/>
              <w:left w:val="nil"/>
              <w:bottom w:val="nil"/>
              <w:right w:val="nil"/>
            </w:tcBorders>
            <w:shd w:val="clear" w:color="000000" w:fill="E7E8F2"/>
            <w:vAlign w:val="center"/>
            <w:hideMark/>
          </w:tcPr>
          <w:p w14:paraId="32D82F4D"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14</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7</w:t>
            </w:r>
          </w:p>
        </w:tc>
        <w:tc>
          <w:tcPr>
            <w:tcW w:w="960" w:type="dxa"/>
            <w:tcBorders>
              <w:top w:val="nil"/>
              <w:left w:val="nil"/>
              <w:bottom w:val="nil"/>
              <w:right w:val="nil"/>
            </w:tcBorders>
            <w:shd w:val="clear" w:color="000000" w:fill="E7E8F2"/>
            <w:vAlign w:val="center"/>
            <w:hideMark/>
          </w:tcPr>
          <w:p w14:paraId="2A9B7384"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7</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3</w:t>
            </w:r>
          </w:p>
        </w:tc>
        <w:tc>
          <w:tcPr>
            <w:tcW w:w="960" w:type="dxa"/>
            <w:tcBorders>
              <w:top w:val="nil"/>
              <w:left w:val="nil"/>
              <w:bottom w:val="nil"/>
              <w:right w:val="nil"/>
            </w:tcBorders>
            <w:shd w:val="clear" w:color="000000" w:fill="E7E8F2"/>
            <w:vAlign w:val="center"/>
            <w:hideMark/>
          </w:tcPr>
          <w:p w14:paraId="28AB60ED" w14:textId="010C56B4" w:rsidR="00475785" w:rsidRPr="00475785" w:rsidRDefault="00AD19ED" w:rsidP="00AD19ED">
            <w:pPr>
              <w:spacing w:after="0" w:line="240" w:lineRule="auto"/>
              <w:jc w:val="center"/>
              <w:rPr>
                <w:rFonts w:ascii="Verdana" w:eastAsia="Times New Roman" w:hAnsi="Verdana" w:cs="Calibri"/>
                <w:color w:val="000000"/>
                <w:sz w:val="20"/>
                <w:szCs w:val="20"/>
                <w:lang w:eastAsia="ru-RU"/>
              </w:rPr>
            </w:pPr>
            <w:r>
              <w:rPr>
                <w:rFonts w:ascii="Verdana" w:eastAsia="Times New Roman" w:hAnsi="Verdana" w:cs="Calibri"/>
                <w:color w:val="000000"/>
                <w:sz w:val="20"/>
                <w:szCs w:val="20"/>
                <w:lang w:eastAsia="ru-RU"/>
              </w:rPr>
              <w:t>4</w:t>
            </w:r>
            <w:r w:rsidR="00D94005">
              <w:rPr>
                <w:rFonts w:ascii="Verdana" w:eastAsia="Times New Roman" w:hAnsi="Verdana" w:cs="Calibri"/>
                <w:color w:val="000000"/>
                <w:sz w:val="20"/>
                <w:szCs w:val="20"/>
                <w:lang w:eastAsia="ru-RU"/>
              </w:rPr>
              <w:t>,</w:t>
            </w:r>
            <w:r>
              <w:rPr>
                <w:rFonts w:ascii="Verdana" w:eastAsia="Times New Roman" w:hAnsi="Verdana" w:cs="Calibri"/>
                <w:color w:val="000000"/>
                <w:sz w:val="20"/>
                <w:szCs w:val="20"/>
                <w:lang w:eastAsia="ru-RU"/>
              </w:rPr>
              <w:t>3</w:t>
            </w:r>
          </w:p>
        </w:tc>
        <w:tc>
          <w:tcPr>
            <w:tcW w:w="960" w:type="dxa"/>
            <w:tcBorders>
              <w:top w:val="nil"/>
              <w:left w:val="nil"/>
              <w:bottom w:val="nil"/>
              <w:right w:val="nil"/>
            </w:tcBorders>
            <w:shd w:val="clear" w:color="000000" w:fill="E7E8F2"/>
            <w:vAlign w:val="center"/>
            <w:hideMark/>
          </w:tcPr>
          <w:p w14:paraId="51B232FF" w14:textId="749D94B3" w:rsidR="00475785" w:rsidRPr="00475785" w:rsidRDefault="00AD19ED" w:rsidP="00AD19ED">
            <w:pPr>
              <w:spacing w:after="0" w:line="240" w:lineRule="auto"/>
              <w:jc w:val="center"/>
              <w:rPr>
                <w:rFonts w:ascii="Verdana" w:eastAsia="Times New Roman" w:hAnsi="Verdana" w:cs="Calibri"/>
                <w:color w:val="000000"/>
                <w:sz w:val="20"/>
                <w:szCs w:val="20"/>
                <w:lang w:eastAsia="ru-RU"/>
              </w:rPr>
            </w:pPr>
            <w:r>
              <w:rPr>
                <w:rFonts w:ascii="Verdana" w:eastAsia="Times New Roman" w:hAnsi="Verdana" w:cs="Calibri"/>
                <w:color w:val="000000"/>
                <w:sz w:val="20"/>
                <w:szCs w:val="20"/>
                <w:lang w:eastAsia="ru-RU"/>
              </w:rPr>
              <w:t>6</w:t>
            </w:r>
            <w:r w:rsidR="00D94005">
              <w:rPr>
                <w:rFonts w:ascii="Verdana" w:eastAsia="Times New Roman" w:hAnsi="Verdana" w:cs="Calibri"/>
                <w:color w:val="000000"/>
                <w:sz w:val="20"/>
                <w:szCs w:val="20"/>
                <w:lang w:eastAsia="ru-RU"/>
              </w:rPr>
              <w:t>,</w:t>
            </w:r>
            <w:r>
              <w:rPr>
                <w:rFonts w:ascii="Verdana" w:eastAsia="Times New Roman" w:hAnsi="Verdana" w:cs="Calibri"/>
                <w:color w:val="000000"/>
                <w:sz w:val="20"/>
                <w:szCs w:val="20"/>
                <w:lang w:eastAsia="ru-RU"/>
              </w:rPr>
              <w:t>9</w:t>
            </w:r>
          </w:p>
        </w:tc>
        <w:tc>
          <w:tcPr>
            <w:tcW w:w="960" w:type="dxa"/>
            <w:tcBorders>
              <w:top w:val="nil"/>
              <w:left w:val="nil"/>
              <w:bottom w:val="nil"/>
              <w:right w:val="nil"/>
            </w:tcBorders>
            <w:shd w:val="clear" w:color="000000" w:fill="E7E8F2"/>
            <w:vAlign w:val="center"/>
            <w:hideMark/>
          </w:tcPr>
          <w:p w14:paraId="3C5B44BE" w14:textId="2FB7D3FA" w:rsidR="00475785" w:rsidRPr="00475785" w:rsidRDefault="00AD19ED" w:rsidP="00AD19ED">
            <w:pPr>
              <w:spacing w:after="0" w:line="240" w:lineRule="auto"/>
              <w:jc w:val="center"/>
              <w:rPr>
                <w:rFonts w:ascii="Verdana" w:eastAsia="Times New Roman" w:hAnsi="Verdana" w:cs="Calibri"/>
                <w:color w:val="000000"/>
                <w:sz w:val="20"/>
                <w:szCs w:val="20"/>
                <w:lang w:eastAsia="ru-RU"/>
              </w:rPr>
            </w:pPr>
            <w:r>
              <w:rPr>
                <w:rFonts w:ascii="Verdana" w:eastAsia="Times New Roman" w:hAnsi="Verdana" w:cs="Calibri"/>
                <w:color w:val="000000"/>
                <w:sz w:val="20"/>
                <w:szCs w:val="20"/>
                <w:lang w:eastAsia="ru-RU"/>
              </w:rPr>
              <w:t>6</w:t>
            </w:r>
            <w:r w:rsidR="00D94005">
              <w:rPr>
                <w:rFonts w:ascii="Verdana" w:eastAsia="Times New Roman" w:hAnsi="Verdana" w:cs="Calibri"/>
                <w:color w:val="000000"/>
                <w:sz w:val="20"/>
                <w:szCs w:val="20"/>
                <w:lang w:eastAsia="ru-RU"/>
              </w:rPr>
              <w:t>,</w:t>
            </w:r>
            <w:r>
              <w:rPr>
                <w:rFonts w:ascii="Verdana" w:eastAsia="Times New Roman" w:hAnsi="Verdana" w:cs="Calibri"/>
                <w:color w:val="000000"/>
                <w:sz w:val="20"/>
                <w:szCs w:val="20"/>
                <w:lang w:eastAsia="ru-RU"/>
              </w:rPr>
              <w:t>5</w:t>
            </w:r>
          </w:p>
        </w:tc>
      </w:tr>
      <w:tr w:rsidR="009F2941" w14:paraId="00E27575" w14:textId="77777777" w:rsidTr="00475785">
        <w:trPr>
          <w:trHeight w:val="480"/>
        </w:trPr>
        <w:tc>
          <w:tcPr>
            <w:tcW w:w="4420" w:type="dxa"/>
            <w:tcBorders>
              <w:top w:val="nil"/>
              <w:left w:val="nil"/>
              <w:bottom w:val="nil"/>
              <w:right w:val="nil"/>
            </w:tcBorders>
            <w:shd w:val="clear" w:color="000000" w:fill="E7E8F2"/>
            <w:vAlign w:val="center"/>
            <w:hideMark/>
          </w:tcPr>
          <w:p w14:paraId="1A5633B0" w14:textId="77777777" w:rsidR="00475785" w:rsidRPr="00475785" w:rsidRDefault="00EC2098" w:rsidP="00475785">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Ставка РЕПО — 7 дней (в среднем за год)</w:t>
            </w:r>
            <w:r w:rsidR="00D94005">
              <w:rPr>
                <w:rFonts w:ascii="Verdana" w:eastAsia="Times New Roman" w:hAnsi="Verdana" w:cs="Calibri"/>
                <w:bCs/>
                <w:color w:val="000000"/>
                <w:sz w:val="20"/>
                <w:szCs w:val="20"/>
                <w:lang w:eastAsia="ru-RU"/>
              </w:rPr>
              <w:t>,</w:t>
            </w:r>
            <w:r w:rsidRPr="00475785">
              <w:rPr>
                <w:rFonts w:ascii="Verdana" w:eastAsia="Times New Roman" w:hAnsi="Verdana" w:cs="Calibri"/>
                <w:bCs/>
                <w:color w:val="000000"/>
                <w:sz w:val="20"/>
                <w:szCs w:val="20"/>
                <w:lang w:eastAsia="ru-RU"/>
              </w:rPr>
              <w:t xml:space="preserve"> %</w:t>
            </w:r>
          </w:p>
        </w:tc>
        <w:tc>
          <w:tcPr>
            <w:tcW w:w="960" w:type="dxa"/>
            <w:tcBorders>
              <w:top w:val="nil"/>
              <w:left w:val="nil"/>
              <w:bottom w:val="nil"/>
              <w:right w:val="nil"/>
            </w:tcBorders>
            <w:shd w:val="clear" w:color="000000" w:fill="E7E8F2"/>
            <w:vAlign w:val="center"/>
            <w:hideMark/>
          </w:tcPr>
          <w:p w14:paraId="78099BC2"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12</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1</w:t>
            </w:r>
          </w:p>
        </w:tc>
        <w:tc>
          <w:tcPr>
            <w:tcW w:w="960" w:type="dxa"/>
            <w:tcBorders>
              <w:top w:val="nil"/>
              <w:left w:val="nil"/>
              <w:bottom w:val="nil"/>
              <w:right w:val="nil"/>
            </w:tcBorders>
            <w:shd w:val="clear" w:color="000000" w:fill="E7E8F2"/>
            <w:vAlign w:val="center"/>
            <w:hideMark/>
          </w:tcPr>
          <w:p w14:paraId="23A963DB"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11</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4</w:t>
            </w:r>
          </w:p>
        </w:tc>
        <w:tc>
          <w:tcPr>
            <w:tcW w:w="960" w:type="dxa"/>
            <w:tcBorders>
              <w:top w:val="nil"/>
              <w:left w:val="nil"/>
              <w:bottom w:val="nil"/>
              <w:right w:val="nil"/>
            </w:tcBorders>
            <w:shd w:val="clear" w:color="000000" w:fill="E7E8F2"/>
            <w:vAlign w:val="center"/>
            <w:hideMark/>
          </w:tcPr>
          <w:p w14:paraId="34687E22" w14:textId="0F5A80B7" w:rsidR="00475785" w:rsidRPr="00475785" w:rsidRDefault="00EC2098" w:rsidP="00AD19ED">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1</w:t>
            </w:r>
            <w:r w:rsidR="00AD19ED">
              <w:rPr>
                <w:rFonts w:ascii="Verdana" w:eastAsia="Times New Roman" w:hAnsi="Verdana" w:cs="Calibri"/>
                <w:color w:val="000000"/>
                <w:sz w:val="20"/>
                <w:szCs w:val="20"/>
                <w:lang w:eastAsia="ru-RU"/>
              </w:rPr>
              <w:t>1</w:t>
            </w:r>
            <w:r w:rsidR="00D94005">
              <w:rPr>
                <w:rFonts w:ascii="Verdana" w:eastAsia="Times New Roman" w:hAnsi="Verdana" w:cs="Calibri"/>
                <w:color w:val="000000"/>
                <w:sz w:val="20"/>
                <w:szCs w:val="20"/>
                <w:lang w:eastAsia="ru-RU"/>
              </w:rPr>
              <w:t>,</w:t>
            </w:r>
            <w:r w:rsidR="00AD19ED">
              <w:rPr>
                <w:rFonts w:ascii="Verdana" w:eastAsia="Times New Roman" w:hAnsi="Verdana" w:cs="Calibri"/>
                <w:color w:val="000000"/>
                <w:sz w:val="20"/>
                <w:szCs w:val="20"/>
                <w:lang w:eastAsia="ru-RU"/>
              </w:rPr>
              <w:t>0</w:t>
            </w:r>
          </w:p>
        </w:tc>
        <w:tc>
          <w:tcPr>
            <w:tcW w:w="960" w:type="dxa"/>
            <w:tcBorders>
              <w:top w:val="nil"/>
              <w:left w:val="nil"/>
              <w:bottom w:val="nil"/>
              <w:right w:val="nil"/>
            </w:tcBorders>
            <w:shd w:val="clear" w:color="000000" w:fill="E7E8F2"/>
            <w:vAlign w:val="center"/>
            <w:hideMark/>
          </w:tcPr>
          <w:p w14:paraId="27BBB352" w14:textId="4EF288E3" w:rsidR="00475785" w:rsidRPr="00475785" w:rsidRDefault="00AD19ED" w:rsidP="00AD19ED">
            <w:pPr>
              <w:spacing w:after="0" w:line="240" w:lineRule="auto"/>
              <w:jc w:val="center"/>
              <w:rPr>
                <w:rFonts w:ascii="Verdana" w:eastAsia="Times New Roman" w:hAnsi="Verdana" w:cs="Calibri"/>
                <w:color w:val="000000"/>
                <w:sz w:val="20"/>
                <w:szCs w:val="20"/>
                <w:lang w:eastAsia="ru-RU"/>
              </w:rPr>
            </w:pPr>
            <w:r>
              <w:rPr>
                <w:rFonts w:ascii="Verdana" w:eastAsia="Times New Roman" w:hAnsi="Verdana" w:cs="Calibri"/>
                <w:color w:val="000000"/>
                <w:sz w:val="20"/>
                <w:szCs w:val="20"/>
                <w:lang w:eastAsia="ru-RU"/>
              </w:rPr>
              <w:t>10</w:t>
            </w:r>
            <w:r w:rsidR="00D94005">
              <w:rPr>
                <w:rFonts w:ascii="Verdana" w:eastAsia="Times New Roman" w:hAnsi="Verdana" w:cs="Calibri"/>
                <w:color w:val="000000"/>
                <w:sz w:val="20"/>
                <w:szCs w:val="20"/>
                <w:lang w:eastAsia="ru-RU"/>
              </w:rPr>
              <w:t>,</w:t>
            </w:r>
            <w:r>
              <w:rPr>
                <w:rFonts w:ascii="Verdana" w:eastAsia="Times New Roman" w:hAnsi="Verdana" w:cs="Calibri"/>
                <w:color w:val="000000"/>
                <w:sz w:val="20"/>
                <w:szCs w:val="20"/>
                <w:lang w:eastAsia="ru-RU"/>
              </w:rPr>
              <w:t>7</w:t>
            </w:r>
          </w:p>
        </w:tc>
        <w:tc>
          <w:tcPr>
            <w:tcW w:w="960" w:type="dxa"/>
            <w:tcBorders>
              <w:top w:val="nil"/>
              <w:left w:val="nil"/>
              <w:bottom w:val="nil"/>
              <w:right w:val="nil"/>
            </w:tcBorders>
            <w:shd w:val="clear" w:color="000000" w:fill="E7E8F2"/>
            <w:vAlign w:val="center"/>
            <w:hideMark/>
          </w:tcPr>
          <w:p w14:paraId="66DB29E0" w14:textId="736F09ED" w:rsidR="00475785" w:rsidRPr="00475785" w:rsidRDefault="00AD19ED" w:rsidP="00AD19ED">
            <w:pPr>
              <w:spacing w:after="0" w:line="240" w:lineRule="auto"/>
              <w:jc w:val="center"/>
              <w:rPr>
                <w:rFonts w:ascii="Verdana" w:eastAsia="Times New Roman" w:hAnsi="Verdana" w:cs="Calibri"/>
                <w:color w:val="000000"/>
                <w:sz w:val="20"/>
                <w:szCs w:val="20"/>
                <w:lang w:eastAsia="ru-RU"/>
              </w:rPr>
            </w:pPr>
            <w:r>
              <w:rPr>
                <w:rFonts w:ascii="Verdana" w:eastAsia="Times New Roman" w:hAnsi="Verdana" w:cs="Calibri"/>
                <w:color w:val="000000"/>
                <w:sz w:val="20"/>
                <w:szCs w:val="20"/>
                <w:lang w:eastAsia="ru-RU"/>
              </w:rPr>
              <w:t>10</w:t>
            </w:r>
            <w:r w:rsidR="00D94005">
              <w:rPr>
                <w:rFonts w:ascii="Verdana" w:eastAsia="Times New Roman" w:hAnsi="Verdana" w:cs="Calibri"/>
                <w:color w:val="000000"/>
                <w:sz w:val="20"/>
                <w:szCs w:val="20"/>
                <w:lang w:eastAsia="ru-RU"/>
              </w:rPr>
              <w:t>,</w:t>
            </w:r>
            <w:r>
              <w:rPr>
                <w:rFonts w:ascii="Verdana" w:eastAsia="Times New Roman" w:hAnsi="Verdana" w:cs="Calibri"/>
                <w:color w:val="000000"/>
                <w:sz w:val="20"/>
                <w:szCs w:val="20"/>
                <w:lang w:eastAsia="ru-RU"/>
              </w:rPr>
              <w:t>7</w:t>
            </w:r>
          </w:p>
        </w:tc>
      </w:tr>
      <w:tr w:rsidR="009F2941" w14:paraId="297E5FE6" w14:textId="77777777" w:rsidTr="00475785">
        <w:trPr>
          <w:trHeight w:val="320"/>
        </w:trPr>
        <w:tc>
          <w:tcPr>
            <w:tcW w:w="4420" w:type="dxa"/>
            <w:tcBorders>
              <w:top w:val="nil"/>
              <w:left w:val="nil"/>
              <w:bottom w:val="nil"/>
              <w:right w:val="nil"/>
            </w:tcBorders>
            <w:shd w:val="clear" w:color="000000" w:fill="E7E8F2"/>
            <w:vAlign w:val="center"/>
            <w:hideMark/>
          </w:tcPr>
          <w:p w14:paraId="0AC0BF62" w14:textId="77777777" w:rsidR="00475785" w:rsidRPr="00475785" w:rsidRDefault="00EC2098" w:rsidP="00475785">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lastRenderedPageBreak/>
              <w:t xml:space="preserve">Курс сома к доллару </w:t>
            </w:r>
            <w:r w:rsidRPr="00475785">
              <w:rPr>
                <w:rFonts w:ascii="Verdana" w:eastAsia="Times New Roman" w:hAnsi="Verdana" w:cs="Calibri"/>
                <w:i/>
                <w:iCs/>
                <w:color w:val="000000"/>
                <w:sz w:val="20"/>
                <w:szCs w:val="20"/>
                <w:lang w:eastAsia="ru-RU"/>
              </w:rPr>
              <w:t>(в среднем за год)</w:t>
            </w:r>
          </w:p>
        </w:tc>
        <w:tc>
          <w:tcPr>
            <w:tcW w:w="960" w:type="dxa"/>
            <w:tcBorders>
              <w:top w:val="nil"/>
              <w:left w:val="nil"/>
              <w:bottom w:val="nil"/>
              <w:right w:val="nil"/>
            </w:tcBorders>
            <w:shd w:val="clear" w:color="000000" w:fill="E7E8F2"/>
            <w:vAlign w:val="center"/>
            <w:hideMark/>
          </w:tcPr>
          <w:p w14:paraId="1F7AB6B8"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84</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1</w:t>
            </w:r>
          </w:p>
        </w:tc>
        <w:tc>
          <w:tcPr>
            <w:tcW w:w="960" w:type="dxa"/>
            <w:tcBorders>
              <w:top w:val="nil"/>
              <w:left w:val="nil"/>
              <w:bottom w:val="nil"/>
              <w:right w:val="nil"/>
            </w:tcBorders>
            <w:shd w:val="clear" w:color="000000" w:fill="E7E8F2"/>
            <w:vAlign w:val="center"/>
            <w:hideMark/>
          </w:tcPr>
          <w:p w14:paraId="41C084F3"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87</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9</w:t>
            </w:r>
          </w:p>
        </w:tc>
        <w:tc>
          <w:tcPr>
            <w:tcW w:w="960" w:type="dxa"/>
            <w:tcBorders>
              <w:top w:val="nil"/>
              <w:left w:val="nil"/>
              <w:bottom w:val="nil"/>
              <w:right w:val="nil"/>
            </w:tcBorders>
            <w:shd w:val="clear" w:color="000000" w:fill="E7E8F2"/>
            <w:vAlign w:val="center"/>
            <w:hideMark/>
          </w:tcPr>
          <w:p w14:paraId="11B94725" w14:textId="05DCC6FB" w:rsidR="00475785" w:rsidRPr="00475785" w:rsidRDefault="00EC2098" w:rsidP="00AD19ED">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89</w:t>
            </w:r>
            <w:r w:rsidR="00D94005">
              <w:rPr>
                <w:rFonts w:ascii="Verdana" w:eastAsia="Times New Roman" w:hAnsi="Verdana" w:cs="Calibri"/>
                <w:color w:val="000000"/>
                <w:sz w:val="20"/>
                <w:szCs w:val="20"/>
                <w:lang w:eastAsia="ru-RU"/>
              </w:rPr>
              <w:t>,</w:t>
            </w:r>
            <w:r w:rsidR="00AD19ED">
              <w:rPr>
                <w:rFonts w:ascii="Verdana" w:eastAsia="Times New Roman" w:hAnsi="Verdana" w:cs="Calibri"/>
                <w:color w:val="000000"/>
                <w:sz w:val="20"/>
                <w:szCs w:val="20"/>
                <w:lang w:eastAsia="ru-RU"/>
              </w:rPr>
              <w:t>4</w:t>
            </w:r>
          </w:p>
        </w:tc>
        <w:tc>
          <w:tcPr>
            <w:tcW w:w="960" w:type="dxa"/>
            <w:tcBorders>
              <w:top w:val="nil"/>
              <w:left w:val="nil"/>
              <w:bottom w:val="nil"/>
              <w:right w:val="nil"/>
            </w:tcBorders>
            <w:shd w:val="clear" w:color="000000" w:fill="E7E8F2"/>
            <w:vAlign w:val="center"/>
            <w:hideMark/>
          </w:tcPr>
          <w:p w14:paraId="0BEAFE9B" w14:textId="47B8A0B8" w:rsidR="00475785" w:rsidRPr="00475785" w:rsidRDefault="00EC2098" w:rsidP="00AD19ED">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9</w:t>
            </w:r>
            <w:r w:rsidR="00AD19ED">
              <w:rPr>
                <w:rFonts w:ascii="Verdana" w:eastAsia="Times New Roman" w:hAnsi="Verdana" w:cs="Calibri"/>
                <w:color w:val="000000"/>
                <w:sz w:val="20"/>
                <w:szCs w:val="20"/>
                <w:lang w:eastAsia="ru-RU"/>
              </w:rPr>
              <w:t>2</w:t>
            </w:r>
            <w:r w:rsidR="00D94005">
              <w:rPr>
                <w:rFonts w:ascii="Verdana" w:eastAsia="Times New Roman" w:hAnsi="Verdana" w:cs="Calibri"/>
                <w:color w:val="000000"/>
                <w:sz w:val="20"/>
                <w:szCs w:val="20"/>
                <w:lang w:eastAsia="ru-RU"/>
              </w:rPr>
              <w:t>,</w:t>
            </w:r>
            <w:r w:rsidR="00AD19ED">
              <w:rPr>
                <w:rFonts w:ascii="Verdana" w:eastAsia="Times New Roman" w:hAnsi="Verdana" w:cs="Calibri"/>
                <w:color w:val="000000"/>
                <w:sz w:val="20"/>
                <w:szCs w:val="20"/>
                <w:lang w:eastAsia="ru-RU"/>
              </w:rPr>
              <w:t>6</w:t>
            </w:r>
          </w:p>
        </w:tc>
        <w:tc>
          <w:tcPr>
            <w:tcW w:w="960" w:type="dxa"/>
            <w:tcBorders>
              <w:top w:val="nil"/>
              <w:left w:val="nil"/>
              <w:bottom w:val="nil"/>
              <w:right w:val="nil"/>
            </w:tcBorders>
            <w:shd w:val="clear" w:color="000000" w:fill="E7E8F2"/>
            <w:vAlign w:val="center"/>
            <w:hideMark/>
          </w:tcPr>
          <w:p w14:paraId="51364192" w14:textId="10FA9BD3" w:rsidR="00475785" w:rsidRPr="00475785" w:rsidRDefault="00EC2098" w:rsidP="00AD19ED">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94</w:t>
            </w:r>
            <w:r w:rsidR="00D94005">
              <w:rPr>
                <w:rFonts w:ascii="Verdana" w:eastAsia="Times New Roman" w:hAnsi="Verdana" w:cs="Calibri"/>
                <w:color w:val="000000"/>
                <w:sz w:val="20"/>
                <w:szCs w:val="20"/>
                <w:lang w:eastAsia="ru-RU"/>
              </w:rPr>
              <w:t>,</w:t>
            </w:r>
            <w:r w:rsidR="00AD19ED">
              <w:rPr>
                <w:rFonts w:ascii="Verdana" w:eastAsia="Times New Roman" w:hAnsi="Verdana" w:cs="Calibri"/>
                <w:color w:val="000000"/>
                <w:sz w:val="20"/>
                <w:szCs w:val="20"/>
                <w:lang w:eastAsia="ru-RU"/>
              </w:rPr>
              <w:t>9</w:t>
            </w:r>
          </w:p>
        </w:tc>
      </w:tr>
      <w:tr w:rsidR="009F2941" w14:paraId="35A540B1" w14:textId="77777777" w:rsidTr="00475785">
        <w:trPr>
          <w:trHeight w:val="290"/>
        </w:trPr>
        <w:tc>
          <w:tcPr>
            <w:tcW w:w="8260" w:type="dxa"/>
            <w:gridSpan w:val="5"/>
            <w:tcBorders>
              <w:top w:val="nil"/>
              <w:left w:val="nil"/>
              <w:bottom w:val="nil"/>
              <w:right w:val="nil"/>
            </w:tcBorders>
            <w:shd w:val="clear" w:color="000000" w:fill="CBCDE3"/>
            <w:vAlign w:val="center"/>
            <w:hideMark/>
          </w:tcPr>
          <w:p w14:paraId="7031B692" w14:textId="77777777" w:rsidR="00475785" w:rsidRPr="00475785" w:rsidRDefault="00EC2098" w:rsidP="00475785">
            <w:pPr>
              <w:spacing w:after="0" w:line="240" w:lineRule="auto"/>
              <w:jc w:val="center"/>
              <w:rPr>
                <w:rFonts w:ascii="Verdana" w:eastAsia="Times New Roman" w:hAnsi="Verdana" w:cs="Calibri"/>
                <w:b/>
                <w:bCs/>
                <w:color w:val="000000"/>
                <w:sz w:val="20"/>
                <w:szCs w:val="20"/>
                <w:lang w:eastAsia="ru-RU"/>
              </w:rPr>
            </w:pPr>
            <w:r w:rsidRPr="00475785">
              <w:rPr>
                <w:rFonts w:ascii="Verdana" w:eastAsia="Times New Roman" w:hAnsi="Verdana" w:cs="Calibri"/>
                <w:b/>
                <w:bCs/>
                <w:color w:val="000000"/>
                <w:sz w:val="20"/>
                <w:szCs w:val="20"/>
                <w:lang w:eastAsia="ru-RU"/>
              </w:rPr>
              <w:t>Российская Федерация</w:t>
            </w:r>
          </w:p>
        </w:tc>
        <w:tc>
          <w:tcPr>
            <w:tcW w:w="960" w:type="dxa"/>
            <w:tcBorders>
              <w:top w:val="nil"/>
              <w:left w:val="nil"/>
              <w:bottom w:val="nil"/>
              <w:right w:val="nil"/>
            </w:tcBorders>
            <w:shd w:val="clear" w:color="000000" w:fill="CBCDE3"/>
            <w:vAlign w:val="center"/>
            <w:hideMark/>
          </w:tcPr>
          <w:p w14:paraId="3E35EBD6" w14:textId="77777777" w:rsidR="00475785" w:rsidRPr="00475785" w:rsidRDefault="00EC2098" w:rsidP="00475785">
            <w:pPr>
              <w:spacing w:after="0" w:line="240" w:lineRule="auto"/>
              <w:jc w:val="center"/>
              <w:rPr>
                <w:rFonts w:ascii="Verdana" w:eastAsia="Times New Roman" w:hAnsi="Verdana" w:cs="Calibri"/>
                <w:b/>
                <w:bCs/>
                <w:color w:val="000000"/>
                <w:sz w:val="20"/>
                <w:szCs w:val="20"/>
                <w:lang w:eastAsia="ru-RU"/>
              </w:rPr>
            </w:pPr>
            <w:r w:rsidRPr="00475785">
              <w:rPr>
                <w:rFonts w:ascii="Verdana" w:eastAsia="Times New Roman" w:hAnsi="Verdana" w:cs="Calibri"/>
                <w:b/>
                <w:bCs/>
                <w:color w:val="000000"/>
                <w:sz w:val="20"/>
                <w:szCs w:val="20"/>
                <w:lang w:eastAsia="ru-RU"/>
              </w:rPr>
              <w:t> </w:t>
            </w:r>
          </w:p>
        </w:tc>
      </w:tr>
      <w:tr w:rsidR="009F2941" w14:paraId="35EE1CC8" w14:textId="77777777" w:rsidTr="00475785">
        <w:trPr>
          <w:trHeight w:val="310"/>
        </w:trPr>
        <w:tc>
          <w:tcPr>
            <w:tcW w:w="4420" w:type="dxa"/>
            <w:tcBorders>
              <w:top w:val="nil"/>
              <w:left w:val="nil"/>
              <w:bottom w:val="nil"/>
              <w:right w:val="nil"/>
            </w:tcBorders>
            <w:shd w:val="clear" w:color="000000" w:fill="E7E8F2"/>
            <w:vAlign w:val="center"/>
            <w:hideMark/>
          </w:tcPr>
          <w:p w14:paraId="1FAF98E0" w14:textId="77777777" w:rsidR="005B4390" w:rsidRPr="00475785" w:rsidRDefault="00EC2098" w:rsidP="005B4390">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ВВП в сопоставимых ценах</w:t>
            </w:r>
          </w:p>
        </w:tc>
        <w:tc>
          <w:tcPr>
            <w:tcW w:w="960" w:type="dxa"/>
            <w:tcBorders>
              <w:top w:val="nil"/>
              <w:left w:val="nil"/>
              <w:bottom w:val="nil"/>
              <w:right w:val="nil"/>
            </w:tcBorders>
            <w:shd w:val="clear" w:color="000000" w:fill="E7E8F2"/>
            <w:vAlign w:val="center"/>
            <w:hideMark/>
          </w:tcPr>
          <w:p w14:paraId="2E88834C" w14:textId="77777777" w:rsidR="005B4390" w:rsidRPr="005B4390" w:rsidRDefault="00EC2098" w:rsidP="005B4390">
            <w:pPr>
              <w:spacing w:after="0" w:line="240" w:lineRule="auto"/>
              <w:jc w:val="center"/>
              <w:rPr>
                <w:rFonts w:ascii="Verdana" w:eastAsia="Times New Roman" w:hAnsi="Verdana" w:cs="Calibri"/>
                <w:color w:val="000000"/>
                <w:sz w:val="20"/>
                <w:szCs w:val="20"/>
                <w:lang w:eastAsia="ru-RU"/>
              </w:rPr>
            </w:pPr>
            <w:r w:rsidRPr="005B4390">
              <w:rPr>
                <w:rFonts w:ascii="Verdana" w:eastAsia="Times New Roman" w:hAnsi="Verdana" w:cs="Calibri"/>
                <w:color w:val="000000"/>
                <w:sz w:val="20"/>
                <w:szCs w:val="20"/>
                <w:lang w:eastAsia="ru-RU"/>
              </w:rPr>
              <w:t>-1,2</w:t>
            </w:r>
          </w:p>
        </w:tc>
        <w:tc>
          <w:tcPr>
            <w:tcW w:w="960" w:type="dxa"/>
            <w:tcBorders>
              <w:top w:val="nil"/>
              <w:left w:val="nil"/>
              <w:bottom w:val="nil"/>
              <w:right w:val="nil"/>
            </w:tcBorders>
            <w:shd w:val="clear" w:color="000000" w:fill="E7E8F2"/>
            <w:vAlign w:val="center"/>
            <w:hideMark/>
          </w:tcPr>
          <w:p w14:paraId="4621BDBF" w14:textId="77777777" w:rsidR="005B4390" w:rsidRPr="005B4390" w:rsidRDefault="00EC2098" w:rsidP="005B4390">
            <w:pPr>
              <w:spacing w:after="0" w:line="240" w:lineRule="auto"/>
              <w:jc w:val="center"/>
              <w:rPr>
                <w:rFonts w:ascii="Verdana" w:eastAsia="Times New Roman" w:hAnsi="Verdana" w:cs="Calibri"/>
                <w:color w:val="000000"/>
                <w:sz w:val="20"/>
                <w:szCs w:val="20"/>
                <w:lang w:eastAsia="ru-RU"/>
              </w:rPr>
            </w:pPr>
            <w:r w:rsidRPr="005B4390">
              <w:rPr>
                <w:rFonts w:ascii="Verdana" w:eastAsia="Times New Roman" w:hAnsi="Verdana" w:cs="Calibri"/>
                <w:color w:val="000000"/>
                <w:sz w:val="20"/>
                <w:szCs w:val="20"/>
                <w:lang w:eastAsia="ru-RU"/>
              </w:rPr>
              <w:t>3,6</w:t>
            </w:r>
          </w:p>
        </w:tc>
        <w:tc>
          <w:tcPr>
            <w:tcW w:w="960" w:type="dxa"/>
            <w:tcBorders>
              <w:top w:val="nil"/>
              <w:left w:val="nil"/>
              <w:bottom w:val="nil"/>
              <w:right w:val="nil"/>
            </w:tcBorders>
            <w:shd w:val="clear" w:color="000000" w:fill="E7E8F2"/>
            <w:vAlign w:val="center"/>
            <w:hideMark/>
          </w:tcPr>
          <w:p w14:paraId="177918A3" w14:textId="77777777" w:rsidR="005B4390" w:rsidRPr="005B4390" w:rsidRDefault="00EC2098" w:rsidP="005B4390">
            <w:pPr>
              <w:spacing w:after="0" w:line="240" w:lineRule="auto"/>
              <w:jc w:val="center"/>
              <w:rPr>
                <w:rFonts w:ascii="Verdana" w:eastAsia="Times New Roman" w:hAnsi="Verdana" w:cs="Calibri"/>
                <w:color w:val="000000"/>
                <w:sz w:val="20"/>
                <w:szCs w:val="20"/>
                <w:lang w:eastAsia="ru-RU"/>
              </w:rPr>
            </w:pPr>
            <w:r w:rsidRPr="005B4390">
              <w:rPr>
                <w:rFonts w:ascii="Verdana" w:eastAsia="Times New Roman" w:hAnsi="Verdana" w:cs="Calibri"/>
                <w:color w:val="000000"/>
                <w:sz w:val="20"/>
                <w:szCs w:val="20"/>
                <w:lang w:eastAsia="ru-RU"/>
              </w:rPr>
              <w:t>3,0</w:t>
            </w:r>
          </w:p>
        </w:tc>
        <w:tc>
          <w:tcPr>
            <w:tcW w:w="960" w:type="dxa"/>
            <w:tcBorders>
              <w:top w:val="nil"/>
              <w:left w:val="nil"/>
              <w:bottom w:val="nil"/>
              <w:right w:val="nil"/>
            </w:tcBorders>
            <w:shd w:val="clear" w:color="000000" w:fill="E7E8F2"/>
            <w:vAlign w:val="center"/>
            <w:hideMark/>
          </w:tcPr>
          <w:p w14:paraId="1BB2ED4C" w14:textId="77777777" w:rsidR="005B4390" w:rsidRPr="005B4390" w:rsidRDefault="00EC2098" w:rsidP="005B4390">
            <w:pPr>
              <w:spacing w:after="0" w:line="240" w:lineRule="auto"/>
              <w:jc w:val="center"/>
              <w:rPr>
                <w:rFonts w:ascii="Verdana" w:eastAsia="Times New Roman" w:hAnsi="Verdana" w:cs="Calibri"/>
                <w:color w:val="000000"/>
                <w:sz w:val="20"/>
                <w:szCs w:val="20"/>
                <w:lang w:eastAsia="ru-RU"/>
              </w:rPr>
            </w:pPr>
            <w:r w:rsidRPr="005B4390">
              <w:rPr>
                <w:rFonts w:ascii="Verdana" w:eastAsia="Times New Roman" w:hAnsi="Verdana" w:cs="Calibri"/>
                <w:color w:val="000000"/>
                <w:sz w:val="20"/>
                <w:szCs w:val="20"/>
                <w:lang w:eastAsia="ru-RU"/>
              </w:rPr>
              <w:t>1,1</w:t>
            </w:r>
          </w:p>
        </w:tc>
        <w:tc>
          <w:tcPr>
            <w:tcW w:w="960" w:type="dxa"/>
            <w:tcBorders>
              <w:top w:val="nil"/>
              <w:left w:val="nil"/>
              <w:bottom w:val="nil"/>
              <w:right w:val="nil"/>
            </w:tcBorders>
            <w:shd w:val="clear" w:color="000000" w:fill="E7E8F2"/>
            <w:vAlign w:val="center"/>
            <w:hideMark/>
          </w:tcPr>
          <w:p w14:paraId="3A464C69" w14:textId="77777777" w:rsidR="005B4390" w:rsidRPr="005B4390" w:rsidRDefault="00EC2098" w:rsidP="005B4390">
            <w:pPr>
              <w:spacing w:after="0" w:line="240" w:lineRule="auto"/>
              <w:jc w:val="center"/>
              <w:rPr>
                <w:rFonts w:ascii="Verdana" w:eastAsia="Times New Roman" w:hAnsi="Verdana" w:cs="Calibri"/>
                <w:color w:val="000000"/>
                <w:sz w:val="20"/>
                <w:szCs w:val="20"/>
                <w:lang w:eastAsia="ru-RU"/>
              </w:rPr>
            </w:pPr>
            <w:r w:rsidRPr="005B4390">
              <w:rPr>
                <w:rFonts w:ascii="Verdana" w:eastAsia="Times New Roman" w:hAnsi="Verdana" w:cs="Calibri"/>
                <w:color w:val="000000"/>
                <w:sz w:val="20"/>
                <w:szCs w:val="20"/>
                <w:lang w:eastAsia="ru-RU"/>
              </w:rPr>
              <w:t>1,6</w:t>
            </w:r>
          </w:p>
        </w:tc>
      </w:tr>
      <w:tr w:rsidR="009F2941" w14:paraId="2792E1D7" w14:textId="77777777" w:rsidTr="00475785">
        <w:trPr>
          <w:trHeight w:val="310"/>
        </w:trPr>
        <w:tc>
          <w:tcPr>
            <w:tcW w:w="4420" w:type="dxa"/>
            <w:tcBorders>
              <w:top w:val="nil"/>
              <w:left w:val="nil"/>
              <w:bottom w:val="nil"/>
              <w:right w:val="nil"/>
            </w:tcBorders>
            <w:shd w:val="clear" w:color="000000" w:fill="E7E8F2"/>
            <w:vAlign w:val="center"/>
            <w:hideMark/>
          </w:tcPr>
          <w:p w14:paraId="0AD2E6D2" w14:textId="77777777" w:rsidR="005B4390" w:rsidRPr="00475785" w:rsidRDefault="00EC2098" w:rsidP="005B4390">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 xml:space="preserve">Инфляция </w:t>
            </w:r>
            <w:r w:rsidRPr="00475785">
              <w:rPr>
                <w:rFonts w:ascii="Verdana" w:eastAsia="Times New Roman" w:hAnsi="Verdana" w:cs="Calibri"/>
                <w:i/>
                <w:iCs/>
                <w:color w:val="000000"/>
                <w:sz w:val="20"/>
                <w:szCs w:val="20"/>
                <w:lang w:eastAsia="ru-RU"/>
              </w:rPr>
              <w:t>(на конец периода)</w:t>
            </w:r>
          </w:p>
        </w:tc>
        <w:tc>
          <w:tcPr>
            <w:tcW w:w="960" w:type="dxa"/>
            <w:tcBorders>
              <w:top w:val="nil"/>
              <w:left w:val="nil"/>
              <w:bottom w:val="nil"/>
              <w:right w:val="nil"/>
            </w:tcBorders>
            <w:shd w:val="clear" w:color="000000" w:fill="E7E8F2"/>
            <w:vAlign w:val="center"/>
            <w:hideMark/>
          </w:tcPr>
          <w:p w14:paraId="57EDC8AD" w14:textId="77777777" w:rsidR="005B4390" w:rsidRPr="005B4390" w:rsidRDefault="00EC2098" w:rsidP="005B4390">
            <w:pPr>
              <w:spacing w:after="0" w:line="240" w:lineRule="auto"/>
              <w:jc w:val="center"/>
              <w:rPr>
                <w:rFonts w:ascii="Verdana" w:eastAsia="Times New Roman" w:hAnsi="Verdana" w:cs="Calibri"/>
                <w:color w:val="000000"/>
                <w:sz w:val="20"/>
                <w:szCs w:val="20"/>
                <w:lang w:eastAsia="ru-RU"/>
              </w:rPr>
            </w:pPr>
            <w:r w:rsidRPr="005B4390">
              <w:rPr>
                <w:rFonts w:ascii="Verdana" w:eastAsia="Times New Roman" w:hAnsi="Verdana" w:cs="Calibri"/>
                <w:color w:val="000000"/>
                <w:sz w:val="20"/>
                <w:szCs w:val="20"/>
                <w:lang w:eastAsia="ru-RU"/>
              </w:rPr>
              <w:t>11,9</w:t>
            </w:r>
          </w:p>
        </w:tc>
        <w:tc>
          <w:tcPr>
            <w:tcW w:w="960" w:type="dxa"/>
            <w:tcBorders>
              <w:top w:val="nil"/>
              <w:left w:val="nil"/>
              <w:bottom w:val="nil"/>
              <w:right w:val="nil"/>
            </w:tcBorders>
            <w:shd w:val="clear" w:color="000000" w:fill="E7E8F2"/>
            <w:vAlign w:val="center"/>
            <w:hideMark/>
          </w:tcPr>
          <w:p w14:paraId="58386C23" w14:textId="77777777" w:rsidR="005B4390" w:rsidRPr="005B4390" w:rsidRDefault="00EC2098" w:rsidP="005B4390">
            <w:pPr>
              <w:spacing w:after="0" w:line="240" w:lineRule="auto"/>
              <w:jc w:val="center"/>
              <w:rPr>
                <w:rFonts w:ascii="Verdana" w:eastAsia="Times New Roman" w:hAnsi="Verdana" w:cs="Calibri"/>
                <w:color w:val="000000"/>
                <w:sz w:val="20"/>
                <w:szCs w:val="20"/>
                <w:lang w:eastAsia="ru-RU"/>
              </w:rPr>
            </w:pPr>
            <w:r w:rsidRPr="005B4390">
              <w:rPr>
                <w:rFonts w:ascii="Verdana" w:eastAsia="Times New Roman" w:hAnsi="Verdana" w:cs="Calibri"/>
                <w:color w:val="000000"/>
                <w:sz w:val="20"/>
                <w:szCs w:val="20"/>
                <w:lang w:eastAsia="ru-RU"/>
              </w:rPr>
              <w:t>7,4</w:t>
            </w:r>
          </w:p>
        </w:tc>
        <w:tc>
          <w:tcPr>
            <w:tcW w:w="960" w:type="dxa"/>
            <w:tcBorders>
              <w:top w:val="nil"/>
              <w:left w:val="nil"/>
              <w:bottom w:val="nil"/>
              <w:right w:val="nil"/>
            </w:tcBorders>
            <w:shd w:val="clear" w:color="000000" w:fill="E7E8F2"/>
            <w:vAlign w:val="center"/>
            <w:hideMark/>
          </w:tcPr>
          <w:p w14:paraId="07996C03" w14:textId="77777777" w:rsidR="005B4390" w:rsidRPr="005B4390" w:rsidRDefault="00EC2098" w:rsidP="005B4390">
            <w:pPr>
              <w:spacing w:after="0" w:line="240" w:lineRule="auto"/>
              <w:jc w:val="center"/>
              <w:rPr>
                <w:rFonts w:ascii="Verdana" w:eastAsia="Times New Roman" w:hAnsi="Verdana" w:cs="Calibri"/>
                <w:color w:val="000000"/>
                <w:sz w:val="20"/>
                <w:szCs w:val="20"/>
                <w:lang w:eastAsia="ru-RU"/>
              </w:rPr>
            </w:pPr>
            <w:r w:rsidRPr="005B4390">
              <w:rPr>
                <w:rFonts w:ascii="Verdana" w:eastAsia="Times New Roman" w:hAnsi="Verdana" w:cs="Calibri"/>
                <w:color w:val="000000"/>
                <w:sz w:val="20"/>
                <w:szCs w:val="20"/>
                <w:lang w:eastAsia="ru-RU"/>
              </w:rPr>
              <w:t>5,8</w:t>
            </w:r>
          </w:p>
        </w:tc>
        <w:tc>
          <w:tcPr>
            <w:tcW w:w="960" w:type="dxa"/>
            <w:tcBorders>
              <w:top w:val="nil"/>
              <w:left w:val="nil"/>
              <w:bottom w:val="nil"/>
              <w:right w:val="nil"/>
            </w:tcBorders>
            <w:shd w:val="clear" w:color="000000" w:fill="E7E8F2"/>
            <w:vAlign w:val="center"/>
            <w:hideMark/>
          </w:tcPr>
          <w:p w14:paraId="23D154C8" w14:textId="77777777" w:rsidR="005B4390" w:rsidRPr="005B4390" w:rsidRDefault="00EC2098" w:rsidP="005B4390">
            <w:pPr>
              <w:spacing w:after="0" w:line="240" w:lineRule="auto"/>
              <w:jc w:val="center"/>
              <w:rPr>
                <w:rFonts w:ascii="Verdana" w:eastAsia="Times New Roman" w:hAnsi="Verdana" w:cs="Calibri"/>
                <w:color w:val="000000"/>
                <w:sz w:val="20"/>
                <w:szCs w:val="20"/>
                <w:lang w:eastAsia="ru-RU"/>
              </w:rPr>
            </w:pPr>
            <w:r w:rsidRPr="005B4390">
              <w:rPr>
                <w:rFonts w:ascii="Verdana" w:eastAsia="Times New Roman" w:hAnsi="Verdana" w:cs="Calibri"/>
                <w:color w:val="000000"/>
                <w:sz w:val="20"/>
                <w:szCs w:val="20"/>
                <w:lang w:eastAsia="ru-RU"/>
              </w:rPr>
              <w:t>4,7</w:t>
            </w:r>
          </w:p>
        </w:tc>
        <w:tc>
          <w:tcPr>
            <w:tcW w:w="960" w:type="dxa"/>
            <w:tcBorders>
              <w:top w:val="nil"/>
              <w:left w:val="nil"/>
              <w:bottom w:val="nil"/>
              <w:right w:val="nil"/>
            </w:tcBorders>
            <w:shd w:val="clear" w:color="000000" w:fill="E7E8F2"/>
            <w:vAlign w:val="center"/>
            <w:hideMark/>
          </w:tcPr>
          <w:p w14:paraId="30AE3E25" w14:textId="77777777" w:rsidR="005B4390" w:rsidRPr="005B4390" w:rsidRDefault="00EC2098" w:rsidP="005B4390">
            <w:pPr>
              <w:spacing w:after="0" w:line="240" w:lineRule="auto"/>
              <w:jc w:val="center"/>
              <w:rPr>
                <w:rFonts w:ascii="Verdana" w:eastAsia="Times New Roman" w:hAnsi="Verdana" w:cs="Calibri"/>
                <w:color w:val="000000"/>
                <w:sz w:val="20"/>
                <w:szCs w:val="20"/>
                <w:lang w:eastAsia="ru-RU"/>
              </w:rPr>
            </w:pPr>
            <w:r w:rsidRPr="005B4390">
              <w:rPr>
                <w:rFonts w:ascii="Verdana" w:eastAsia="Times New Roman" w:hAnsi="Verdana" w:cs="Calibri"/>
                <w:color w:val="000000"/>
                <w:sz w:val="20"/>
                <w:szCs w:val="20"/>
                <w:lang w:eastAsia="ru-RU"/>
              </w:rPr>
              <w:t>4,1</w:t>
            </w:r>
          </w:p>
        </w:tc>
      </w:tr>
      <w:tr w:rsidR="009F2941" w14:paraId="29E19614" w14:textId="77777777" w:rsidTr="00475785">
        <w:trPr>
          <w:trHeight w:val="310"/>
        </w:trPr>
        <w:tc>
          <w:tcPr>
            <w:tcW w:w="4420" w:type="dxa"/>
            <w:tcBorders>
              <w:top w:val="nil"/>
              <w:left w:val="nil"/>
              <w:bottom w:val="nil"/>
              <w:right w:val="nil"/>
            </w:tcBorders>
            <w:shd w:val="clear" w:color="000000" w:fill="E7E8F2"/>
            <w:vAlign w:val="center"/>
            <w:hideMark/>
          </w:tcPr>
          <w:p w14:paraId="48EECB1F" w14:textId="77777777" w:rsidR="005B4390" w:rsidRPr="00475785" w:rsidRDefault="00EC2098" w:rsidP="005B4390">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Ключевая ставка (в среднем за год)</w:t>
            </w:r>
            <w:r>
              <w:rPr>
                <w:rFonts w:ascii="Verdana" w:eastAsia="Times New Roman" w:hAnsi="Verdana" w:cs="Calibri"/>
                <w:bCs/>
                <w:color w:val="000000"/>
                <w:sz w:val="20"/>
                <w:szCs w:val="20"/>
                <w:lang w:eastAsia="ru-RU"/>
              </w:rPr>
              <w:t>,</w:t>
            </w:r>
            <w:r w:rsidRPr="00475785">
              <w:rPr>
                <w:rFonts w:ascii="Verdana" w:eastAsia="Times New Roman" w:hAnsi="Verdana" w:cs="Calibri"/>
                <w:bCs/>
                <w:color w:val="000000"/>
                <w:sz w:val="20"/>
                <w:szCs w:val="20"/>
                <w:lang w:eastAsia="ru-RU"/>
              </w:rPr>
              <w:t xml:space="preserve"> %</w:t>
            </w:r>
          </w:p>
        </w:tc>
        <w:tc>
          <w:tcPr>
            <w:tcW w:w="960" w:type="dxa"/>
            <w:tcBorders>
              <w:top w:val="nil"/>
              <w:left w:val="nil"/>
              <w:bottom w:val="nil"/>
              <w:right w:val="nil"/>
            </w:tcBorders>
            <w:shd w:val="clear" w:color="000000" w:fill="E7E8F2"/>
            <w:vAlign w:val="center"/>
            <w:hideMark/>
          </w:tcPr>
          <w:p w14:paraId="0BF3522F" w14:textId="77777777" w:rsidR="005B4390" w:rsidRPr="005B4390" w:rsidRDefault="00EC2098" w:rsidP="005B4390">
            <w:pPr>
              <w:spacing w:after="0" w:line="240" w:lineRule="auto"/>
              <w:jc w:val="center"/>
              <w:rPr>
                <w:rFonts w:ascii="Verdana" w:eastAsia="Times New Roman" w:hAnsi="Verdana" w:cs="Calibri"/>
                <w:color w:val="000000"/>
                <w:sz w:val="20"/>
                <w:szCs w:val="20"/>
                <w:lang w:eastAsia="ru-RU"/>
              </w:rPr>
            </w:pPr>
            <w:r w:rsidRPr="005B4390">
              <w:rPr>
                <w:rFonts w:ascii="Verdana" w:eastAsia="Times New Roman" w:hAnsi="Verdana" w:cs="Calibri"/>
                <w:color w:val="000000"/>
                <w:sz w:val="20"/>
                <w:szCs w:val="20"/>
                <w:lang w:eastAsia="ru-RU"/>
              </w:rPr>
              <w:t>10,6</w:t>
            </w:r>
          </w:p>
        </w:tc>
        <w:tc>
          <w:tcPr>
            <w:tcW w:w="960" w:type="dxa"/>
            <w:tcBorders>
              <w:top w:val="nil"/>
              <w:left w:val="nil"/>
              <w:bottom w:val="nil"/>
              <w:right w:val="nil"/>
            </w:tcBorders>
            <w:shd w:val="clear" w:color="000000" w:fill="E7E8F2"/>
            <w:vAlign w:val="center"/>
            <w:hideMark/>
          </w:tcPr>
          <w:p w14:paraId="10A49A76" w14:textId="77777777" w:rsidR="005B4390" w:rsidRPr="005B4390" w:rsidRDefault="00EC2098" w:rsidP="005B4390">
            <w:pPr>
              <w:spacing w:after="0" w:line="240" w:lineRule="auto"/>
              <w:jc w:val="center"/>
              <w:rPr>
                <w:rFonts w:ascii="Verdana" w:eastAsia="Times New Roman" w:hAnsi="Verdana" w:cs="Calibri"/>
                <w:color w:val="000000"/>
                <w:sz w:val="20"/>
                <w:szCs w:val="20"/>
                <w:lang w:eastAsia="ru-RU"/>
              </w:rPr>
            </w:pPr>
            <w:r w:rsidRPr="005B4390">
              <w:rPr>
                <w:rFonts w:ascii="Verdana" w:eastAsia="Times New Roman" w:hAnsi="Verdana" w:cs="Calibri"/>
                <w:color w:val="000000"/>
                <w:sz w:val="20"/>
                <w:szCs w:val="20"/>
                <w:lang w:eastAsia="ru-RU"/>
              </w:rPr>
              <w:t>9,9</w:t>
            </w:r>
          </w:p>
        </w:tc>
        <w:tc>
          <w:tcPr>
            <w:tcW w:w="960" w:type="dxa"/>
            <w:tcBorders>
              <w:top w:val="nil"/>
              <w:left w:val="nil"/>
              <w:bottom w:val="nil"/>
              <w:right w:val="nil"/>
            </w:tcBorders>
            <w:shd w:val="clear" w:color="000000" w:fill="E7E8F2"/>
            <w:vAlign w:val="center"/>
            <w:hideMark/>
          </w:tcPr>
          <w:p w14:paraId="15C65BFD" w14:textId="77777777" w:rsidR="005B4390" w:rsidRPr="005B4390" w:rsidRDefault="00EC2098" w:rsidP="005B4390">
            <w:pPr>
              <w:spacing w:after="0" w:line="240" w:lineRule="auto"/>
              <w:jc w:val="center"/>
              <w:rPr>
                <w:rFonts w:ascii="Verdana" w:eastAsia="Times New Roman" w:hAnsi="Verdana" w:cs="Calibri"/>
                <w:color w:val="000000"/>
                <w:sz w:val="20"/>
                <w:szCs w:val="20"/>
                <w:lang w:eastAsia="ru-RU"/>
              </w:rPr>
            </w:pPr>
            <w:r w:rsidRPr="005B4390">
              <w:rPr>
                <w:rFonts w:ascii="Verdana" w:eastAsia="Times New Roman" w:hAnsi="Verdana" w:cs="Calibri"/>
                <w:color w:val="000000"/>
                <w:sz w:val="20"/>
                <w:szCs w:val="20"/>
                <w:lang w:eastAsia="ru-RU"/>
              </w:rPr>
              <w:t>15,8</w:t>
            </w:r>
          </w:p>
        </w:tc>
        <w:tc>
          <w:tcPr>
            <w:tcW w:w="960" w:type="dxa"/>
            <w:tcBorders>
              <w:top w:val="nil"/>
              <w:left w:val="nil"/>
              <w:bottom w:val="nil"/>
              <w:right w:val="nil"/>
            </w:tcBorders>
            <w:shd w:val="clear" w:color="000000" w:fill="E7E8F2"/>
            <w:vAlign w:val="center"/>
            <w:hideMark/>
          </w:tcPr>
          <w:p w14:paraId="75C3B872" w14:textId="77777777" w:rsidR="005B4390" w:rsidRPr="005B4390" w:rsidRDefault="00EC2098" w:rsidP="005B4390">
            <w:pPr>
              <w:spacing w:after="0" w:line="240" w:lineRule="auto"/>
              <w:jc w:val="center"/>
              <w:rPr>
                <w:rFonts w:ascii="Verdana" w:eastAsia="Times New Roman" w:hAnsi="Verdana" w:cs="Calibri"/>
                <w:color w:val="000000"/>
                <w:sz w:val="20"/>
                <w:szCs w:val="20"/>
                <w:lang w:eastAsia="ru-RU"/>
              </w:rPr>
            </w:pPr>
            <w:r w:rsidRPr="005B4390">
              <w:rPr>
                <w:rFonts w:ascii="Verdana" w:eastAsia="Times New Roman" w:hAnsi="Verdana" w:cs="Calibri"/>
                <w:color w:val="000000"/>
                <w:sz w:val="20"/>
                <w:szCs w:val="20"/>
                <w:lang w:eastAsia="ru-RU"/>
              </w:rPr>
              <w:t>12,5</w:t>
            </w:r>
          </w:p>
        </w:tc>
        <w:tc>
          <w:tcPr>
            <w:tcW w:w="960" w:type="dxa"/>
            <w:tcBorders>
              <w:top w:val="nil"/>
              <w:left w:val="nil"/>
              <w:bottom w:val="nil"/>
              <w:right w:val="nil"/>
            </w:tcBorders>
            <w:shd w:val="clear" w:color="000000" w:fill="E7E8F2"/>
            <w:vAlign w:val="center"/>
            <w:hideMark/>
          </w:tcPr>
          <w:p w14:paraId="7087EED0" w14:textId="77777777" w:rsidR="005B4390" w:rsidRPr="005B4390" w:rsidRDefault="00EC2098" w:rsidP="005B4390">
            <w:pPr>
              <w:spacing w:after="0" w:line="240" w:lineRule="auto"/>
              <w:jc w:val="center"/>
              <w:rPr>
                <w:rFonts w:ascii="Verdana" w:eastAsia="Times New Roman" w:hAnsi="Verdana" w:cs="Calibri"/>
                <w:color w:val="000000"/>
                <w:sz w:val="20"/>
                <w:szCs w:val="20"/>
                <w:lang w:eastAsia="ru-RU"/>
              </w:rPr>
            </w:pPr>
            <w:r w:rsidRPr="005B4390">
              <w:rPr>
                <w:rFonts w:ascii="Verdana" w:eastAsia="Times New Roman" w:hAnsi="Verdana" w:cs="Calibri"/>
                <w:color w:val="000000"/>
                <w:sz w:val="20"/>
                <w:szCs w:val="20"/>
                <w:lang w:eastAsia="ru-RU"/>
              </w:rPr>
              <w:t>7,9</w:t>
            </w:r>
          </w:p>
        </w:tc>
      </w:tr>
      <w:tr w:rsidR="009F2941" w14:paraId="6DE54EC8" w14:textId="77777777" w:rsidTr="00475785">
        <w:trPr>
          <w:trHeight w:val="540"/>
        </w:trPr>
        <w:tc>
          <w:tcPr>
            <w:tcW w:w="4420" w:type="dxa"/>
            <w:tcBorders>
              <w:top w:val="nil"/>
              <w:left w:val="nil"/>
              <w:bottom w:val="nil"/>
              <w:right w:val="nil"/>
            </w:tcBorders>
            <w:shd w:val="clear" w:color="000000" w:fill="E7E8F2"/>
            <w:vAlign w:val="center"/>
            <w:hideMark/>
          </w:tcPr>
          <w:p w14:paraId="4E474220" w14:textId="77777777" w:rsidR="005B4390" w:rsidRPr="00475785" w:rsidRDefault="00EC2098" w:rsidP="005B4390">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Курс рос</w:t>
            </w:r>
            <w:r>
              <w:rPr>
                <w:rFonts w:ascii="Verdana" w:eastAsia="Times New Roman" w:hAnsi="Verdana" w:cs="Calibri"/>
                <w:bCs/>
                <w:color w:val="000000"/>
                <w:sz w:val="20"/>
                <w:szCs w:val="20"/>
                <w:lang w:eastAsia="ru-RU"/>
              </w:rPr>
              <w:t>,</w:t>
            </w:r>
            <w:r w:rsidRPr="00475785">
              <w:rPr>
                <w:rFonts w:ascii="Verdana" w:eastAsia="Times New Roman" w:hAnsi="Verdana" w:cs="Calibri"/>
                <w:bCs/>
                <w:color w:val="000000"/>
                <w:sz w:val="20"/>
                <w:szCs w:val="20"/>
                <w:lang w:eastAsia="ru-RU"/>
              </w:rPr>
              <w:t xml:space="preserve"> рубля к доллару </w:t>
            </w:r>
            <w:r w:rsidRPr="00475785">
              <w:rPr>
                <w:rFonts w:ascii="Verdana" w:eastAsia="Times New Roman" w:hAnsi="Verdana" w:cs="Calibri"/>
                <w:i/>
                <w:iCs/>
                <w:color w:val="000000"/>
                <w:sz w:val="20"/>
                <w:szCs w:val="20"/>
                <w:lang w:eastAsia="ru-RU"/>
              </w:rPr>
              <w:t>(в среднем за год)</w:t>
            </w:r>
          </w:p>
        </w:tc>
        <w:tc>
          <w:tcPr>
            <w:tcW w:w="960" w:type="dxa"/>
            <w:tcBorders>
              <w:top w:val="nil"/>
              <w:left w:val="nil"/>
              <w:bottom w:val="nil"/>
              <w:right w:val="nil"/>
            </w:tcBorders>
            <w:shd w:val="clear" w:color="000000" w:fill="E7E8F2"/>
            <w:vAlign w:val="center"/>
            <w:hideMark/>
          </w:tcPr>
          <w:p w14:paraId="1EC09CB2" w14:textId="77777777" w:rsidR="005B4390" w:rsidRPr="005B4390" w:rsidRDefault="00EC2098" w:rsidP="005B4390">
            <w:pPr>
              <w:spacing w:after="0" w:line="240" w:lineRule="auto"/>
              <w:jc w:val="center"/>
              <w:rPr>
                <w:rFonts w:ascii="Verdana" w:eastAsia="Times New Roman" w:hAnsi="Verdana" w:cs="Calibri"/>
                <w:color w:val="000000"/>
                <w:sz w:val="20"/>
                <w:szCs w:val="20"/>
                <w:lang w:eastAsia="ru-RU"/>
              </w:rPr>
            </w:pPr>
            <w:r w:rsidRPr="005B4390">
              <w:rPr>
                <w:rFonts w:ascii="Verdana" w:eastAsia="Times New Roman" w:hAnsi="Verdana" w:cs="Calibri"/>
                <w:color w:val="000000"/>
                <w:sz w:val="20"/>
                <w:szCs w:val="20"/>
                <w:lang w:eastAsia="ru-RU"/>
              </w:rPr>
              <w:t>68,5</w:t>
            </w:r>
          </w:p>
        </w:tc>
        <w:tc>
          <w:tcPr>
            <w:tcW w:w="960" w:type="dxa"/>
            <w:tcBorders>
              <w:top w:val="nil"/>
              <w:left w:val="nil"/>
              <w:bottom w:val="nil"/>
              <w:right w:val="nil"/>
            </w:tcBorders>
            <w:shd w:val="clear" w:color="000000" w:fill="E7E8F2"/>
            <w:vAlign w:val="center"/>
            <w:hideMark/>
          </w:tcPr>
          <w:p w14:paraId="5E480EB0" w14:textId="77777777" w:rsidR="005B4390" w:rsidRPr="005B4390" w:rsidRDefault="00EC2098" w:rsidP="005B4390">
            <w:pPr>
              <w:spacing w:after="0" w:line="240" w:lineRule="auto"/>
              <w:jc w:val="center"/>
              <w:rPr>
                <w:rFonts w:ascii="Verdana" w:eastAsia="Times New Roman" w:hAnsi="Verdana" w:cs="Calibri"/>
                <w:color w:val="000000"/>
                <w:sz w:val="20"/>
                <w:szCs w:val="20"/>
                <w:lang w:eastAsia="ru-RU"/>
              </w:rPr>
            </w:pPr>
            <w:r w:rsidRPr="005B4390">
              <w:rPr>
                <w:rFonts w:ascii="Verdana" w:eastAsia="Times New Roman" w:hAnsi="Verdana" w:cs="Calibri"/>
                <w:color w:val="000000"/>
                <w:sz w:val="20"/>
                <w:szCs w:val="20"/>
                <w:lang w:eastAsia="ru-RU"/>
              </w:rPr>
              <w:t>85,2</w:t>
            </w:r>
          </w:p>
        </w:tc>
        <w:tc>
          <w:tcPr>
            <w:tcW w:w="960" w:type="dxa"/>
            <w:tcBorders>
              <w:top w:val="nil"/>
              <w:left w:val="nil"/>
              <w:bottom w:val="nil"/>
              <w:right w:val="nil"/>
            </w:tcBorders>
            <w:shd w:val="clear" w:color="000000" w:fill="E7E8F2"/>
            <w:vAlign w:val="center"/>
            <w:hideMark/>
          </w:tcPr>
          <w:p w14:paraId="0D684E5B" w14:textId="77777777" w:rsidR="005B4390" w:rsidRPr="005B4390" w:rsidRDefault="00EC2098" w:rsidP="00773716">
            <w:pPr>
              <w:spacing w:after="0" w:line="240" w:lineRule="auto"/>
              <w:jc w:val="center"/>
              <w:rPr>
                <w:rFonts w:ascii="Verdana" w:eastAsia="Times New Roman" w:hAnsi="Verdana" w:cs="Calibri"/>
                <w:color w:val="000000"/>
                <w:sz w:val="20"/>
                <w:szCs w:val="20"/>
                <w:lang w:eastAsia="ru-RU"/>
              </w:rPr>
            </w:pPr>
            <w:r w:rsidRPr="005B4390">
              <w:rPr>
                <w:rFonts w:ascii="Verdana" w:eastAsia="Times New Roman" w:hAnsi="Verdana" w:cs="Calibri"/>
                <w:color w:val="000000"/>
                <w:sz w:val="20"/>
                <w:szCs w:val="20"/>
                <w:lang w:eastAsia="ru-RU"/>
              </w:rPr>
              <w:t>92,</w:t>
            </w:r>
            <w:r w:rsidR="00773716">
              <w:rPr>
                <w:rFonts w:ascii="Verdana" w:eastAsia="Times New Roman" w:hAnsi="Verdana" w:cs="Calibri"/>
                <w:color w:val="000000"/>
                <w:sz w:val="20"/>
                <w:szCs w:val="20"/>
                <w:lang w:eastAsia="ru-RU"/>
              </w:rPr>
              <w:t>8</w:t>
            </w:r>
          </w:p>
        </w:tc>
        <w:tc>
          <w:tcPr>
            <w:tcW w:w="960" w:type="dxa"/>
            <w:tcBorders>
              <w:top w:val="nil"/>
              <w:left w:val="nil"/>
              <w:bottom w:val="nil"/>
              <w:right w:val="nil"/>
            </w:tcBorders>
            <w:shd w:val="clear" w:color="000000" w:fill="E7E8F2"/>
            <w:vAlign w:val="center"/>
            <w:hideMark/>
          </w:tcPr>
          <w:p w14:paraId="7592B96B" w14:textId="77777777" w:rsidR="005B4390" w:rsidRPr="005B4390" w:rsidRDefault="00EC2098" w:rsidP="005B4390">
            <w:pPr>
              <w:spacing w:after="0" w:line="240" w:lineRule="auto"/>
              <w:jc w:val="center"/>
              <w:rPr>
                <w:rFonts w:ascii="Verdana" w:eastAsia="Times New Roman" w:hAnsi="Verdana" w:cs="Calibri"/>
                <w:color w:val="000000"/>
                <w:sz w:val="20"/>
                <w:szCs w:val="20"/>
                <w:lang w:eastAsia="ru-RU"/>
              </w:rPr>
            </w:pPr>
            <w:r>
              <w:rPr>
                <w:rFonts w:ascii="Verdana" w:eastAsia="Times New Roman" w:hAnsi="Verdana" w:cs="Calibri"/>
                <w:color w:val="000000"/>
                <w:sz w:val="20"/>
                <w:szCs w:val="20"/>
                <w:lang w:eastAsia="ru-RU"/>
              </w:rPr>
              <w:t>96,7</w:t>
            </w:r>
          </w:p>
        </w:tc>
        <w:tc>
          <w:tcPr>
            <w:tcW w:w="960" w:type="dxa"/>
            <w:tcBorders>
              <w:top w:val="nil"/>
              <w:left w:val="nil"/>
              <w:bottom w:val="nil"/>
              <w:right w:val="nil"/>
            </w:tcBorders>
            <w:shd w:val="clear" w:color="000000" w:fill="E7E8F2"/>
            <w:vAlign w:val="center"/>
            <w:hideMark/>
          </w:tcPr>
          <w:p w14:paraId="18E03F33" w14:textId="77777777" w:rsidR="005B4390" w:rsidRPr="005B4390" w:rsidRDefault="00EC2098" w:rsidP="005B4390">
            <w:pPr>
              <w:spacing w:after="0" w:line="240" w:lineRule="auto"/>
              <w:jc w:val="center"/>
              <w:rPr>
                <w:rFonts w:ascii="Verdana" w:eastAsia="Times New Roman" w:hAnsi="Verdana" w:cs="Calibri"/>
                <w:color w:val="000000"/>
                <w:sz w:val="20"/>
                <w:szCs w:val="20"/>
                <w:lang w:eastAsia="ru-RU"/>
              </w:rPr>
            </w:pPr>
            <w:r>
              <w:rPr>
                <w:rFonts w:ascii="Verdana" w:eastAsia="Times New Roman" w:hAnsi="Verdana" w:cs="Calibri"/>
                <w:color w:val="000000"/>
                <w:sz w:val="20"/>
                <w:szCs w:val="20"/>
                <w:lang w:eastAsia="ru-RU"/>
              </w:rPr>
              <w:t>98</w:t>
            </w:r>
            <w:r w:rsidRPr="005B4390">
              <w:rPr>
                <w:rFonts w:ascii="Verdana" w:eastAsia="Times New Roman" w:hAnsi="Verdana" w:cs="Calibri"/>
                <w:color w:val="000000"/>
                <w:sz w:val="20"/>
                <w:szCs w:val="20"/>
                <w:lang w:eastAsia="ru-RU"/>
              </w:rPr>
              <w:t>,4</w:t>
            </w:r>
          </w:p>
        </w:tc>
      </w:tr>
      <w:tr w:rsidR="009F2941" w14:paraId="264B9FE5" w14:textId="77777777" w:rsidTr="00475785">
        <w:trPr>
          <w:trHeight w:val="290"/>
        </w:trPr>
        <w:tc>
          <w:tcPr>
            <w:tcW w:w="8260" w:type="dxa"/>
            <w:gridSpan w:val="5"/>
            <w:tcBorders>
              <w:top w:val="nil"/>
              <w:left w:val="nil"/>
              <w:bottom w:val="nil"/>
              <w:right w:val="nil"/>
            </w:tcBorders>
            <w:shd w:val="clear" w:color="000000" w:fill="CBCDE3"/>
            <w:vAlign w:val="center"/>
            <w:hideMark/>
          </w:tcPr>
          <w:p w14:paraId="110C44E5" w14:textId="77777777" w:rsidR="00475785" w:rsidRPr="00475785" w:rsidRDefault="00EC2098" w:rsidP="00475785">
            <w:pPr>
              <w:spacing w:after="0" w:line="240" w:lineRule="auto"/>
              <w:jc w:val="center"/>
              <w:rPr>
                <w:rFonts w:ascii="Verdana" w:eastAsia="Times New Roman" w:hAnsi="Verdana" w:cs="Calibri"/>
                <w:b/>
                <w:bCs/>
                <w:color w:val="000000"/>
                <w:sz w:val="20"/>
                <w:szCs w:val="20"/>
                <w:lang w:eastAsia="ru-RU"/>
              </w:rPr>
            </w:pPr>
            <w:r w:rsidRPr="00475785">
              <w:rPr>
                <w:rFonts w:ascii="Verdana" w:eastAsia="Times New Roman" w:hAnsi="Verdana" w:cs="Calibri"/>
                <w:b/>
                <w:bCs/>
                <w:color w:val="000000"/>
                <w:sz w:val="20"/>
                <w:szCs w:val="20"/>
                <w:lang w:eastAsia="ru-RU"/>
              </w:rPr>
              <w:t>Республика Таджикистан</w:t>
            </w:r>
          </w:p>
        </w:tc>
        <w:tc>
          <w:tcPr>
            <w:tcW w:w="960" w:type="dxa"/>
            <w:tcBorders>
              <w:top w:val="nil"/>
              <w:left w:val="nil"/>
              <w:bottom w:val="nil"/>
              <w:right w:val="nil"/>
            </w:tcBorders>
            <w:shd w:val="clear" w:color="000000" w:fill="CBCDE3"/>
            <w:vAlign w:val="center"/>
            <w:hideMark/>
          </w:tcPr>
          <w:p w14:paraId="1EBBD0F2" w14:textId="77777777" w:rsidR="00475785" w:rsidRPr="00475785" w:rsidRDefault="00EC2098" w:rsidP="00475785">
            <w:pPr>
              <w:spacing w:after="0" w:line="240" w:lineRule="auto"/>
              <w:jc w:val="center"/>
              <w:rPr>
                <w:rFonts w:ascii="Verdana" w:eastAsia="Times New Roman" w:hAnsi="Verdana" w:cs="Calibri"/>
                <w:b/>
                <w:bCs/>
                <w:color w:val="000000"/>
                <w:sz w:val="20"/>
                <w:szCs w:val="20"/>
                <w:lang w:eastAsia="ru-RU"/>
              </w:rPr>
            </w:pPr>
            <w:r w:rsidRPr="00475785">
              <w:rPr>
                <w:rFonts w:ascii="Verdana" w:eastAsia="Times New Roman" w:hAnsi="Verdana" w:cs="Calibri"/>
                <w:b/>
                <w:bCs/>
                <w:color w:val="000000"/>
                <w:sz w:val="20"/>
                <w:szCs w:val="20"/>
                <w:lang w:eastAsia="ru-RU"/>
              </w:rPr>
              <w:t> </w:t>
            </w:r>
          </w:p>
        </w:tc>
      </w:tr>
      <w:tr w:rsidR="009F2941" w14:paraId="673C56AA" w14:textId="77777777" w:rsidTr="00475785">
        <w:trPr>
          <w:trHeight w:val="310"/>
        </w:trPr>
        <w:tc>
          <w:tcPr>
            <w:tcW w:w="4420" w:type="dxa"/>
            <w:tcBorders>
              <w:top w:val="nil"/>
              <w:left w:val="nil"/>
              <w:bottom w:val="nil"/>
              <w:right w:val="nil"/>
            </w:tcBorders>
            <w:shd w:val="clear" w:color="000000" w:fill="E7E8F2"/>
            <w:vAlign w:val="center"/>
            <w:hideMark/>
          </w:tcPr>
          <w:p w14:paraId="3E41CEB6" w14:textId="77777777" w:rsidR="00475785" w:rsidRPr="00475785" w:rsidRDefault="00EC2098" w:rsidP="00475785">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ВВП в сопоставимых ценах</w:t>
            </w:r>
          </w:p>
        </w:tc>
        <w:tc>
          <w:tcPr>
            <w:tcW w:w="960" w:type="dxa"/>
            <w:tcBorders>
              <w:top w:val="nil"/>
              <w:left w:val="nil"/>
              <w:bottom w:val="nil"/>
              <w:right w:val="nil"/>
            </w:tcBorders>
            <w:shd w:val="clear" w:color="000000" w:fill="E7E8F2"/>
            <w:vAlign w:val="center"/>
            <w:hideMark/>
          </w:tcPr>
          <w:p w14:paraId="7DA3F0A2"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8</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0</w:t>
            </w:r>
          </w:p>
        </w:tc>
        <w:tc>
          <w:tcPr>
            <w:tcW w:w="960" w:type="dxa"/>
            <w:tcBorders>
              <w:top w:val="nil"/>
              <w:left w:val="nil"/>
              <w:bottom w:val="nil"/>
              <w:right w:val="nil"/>
            </w:tcBorders>
            <w:shd w:val="clear" w:color="000000" w:fill="E7E8F2"/>
            <w:vAlign w:val="center"/>
            <w:hideMark/>
          </w:tcPr>
          <w:p w14:paraId="155372DC"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8</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3</w:t>
            </w:r>
          </w:p>
        </w:tc>
        <w:tc>
          <w:tcPr>
            <w:tcW w:w="960" w:type="dxa"/>
            <w:tcBorders>
              <w:top w:val="nil"/>
              <w:left w:val="nil"/>
              <w:bottom w:val="nil"/>
              <w:right w:val="nil"/>
            </w:tcBorders>
            <w:shd w:val="clear" w:color="000000" w:fill="E7E8F2"/>
            <w:vAlign w:val="center"/>
            <w:hideMark/>
          </w:tcPr>
          <w:p w14:paraId="3D6A2D13"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8</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0</w:t>
            </w:r>
          </w:p>
        </w:tc>
        <w:tc>
          <w:tcPr>
            <w:tcW w:w="960" w:type="dxa"/>
            <w:tcBorders>
              <w:top w:val="nil"/>
              <w:left w:val="nil"/>
              <w:bottom w:val="nil"/>
              <w:right w:val="nil"/>
            </w:tcBorders>
            <w:shd w:val="clear" w:color="000000" w:fill="E7E8F2"/>
            <w:vAlign w:val="center"/>
            <w:hideMark/>
          </w:tcPr>
          <w:p w14:paraId="2D5012DC"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8</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2</w:t>
            </w:r>
          </w:p>
        </w:tc>
        <w:tc>
          <w:tcPr>
            <w:tcW w:w="960" w:type="dxa"/>
            <w:tcBorders>
              <w:top w:val="nil"/>
              <w:left w:val="nil"/>
              <w:bottom w:val="nil"/>
              <w:right w:val="nil"/>
            </w:tcBorders>
            <w:shd w:val="clear" w:color="000000" w:fill="E7E8F2"/>
            <w:vAlign w:val="center"/>
            <w:hideMark/>
          </w:tcPr>
          <w:p w14:paraId="73F05D68"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7</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8</w:t>
            </w:r>
          </w:p>
        </w:tc>
      </w:tr>
      <w:tr w:rsidR="009F2941" w14:paraId="44B411E4" w14:textId="77777777" w:rsidTr="00475785">
        <w:trPr>
          <w:trHeight w:val="310"/>
        </w:trPr>
        <w:tc>
          <w:tcPr>
            <w:tcW w:w="4420" w:type="dxa"/>
            <w:tcBorders>
              <w:top w:val="nil"/>
              <w:left w:val="nil"/>
              <w:bottom w:val="nil"/>
              <w:right w:val="nil"/>
            </w:tcBorders>
            <w:shd w:val="clear" w:color="000000" w:fill="E7E8F2"/>
            <w:vAlign w:val="center"/>
            <w:hideMark/>
          </w:tcPr>
          <w:p w14:paraId="10D5A994" w14:textId="77777777" w:rsidR="00475785" w:rsidRPr="00475785" w:rsidRDefault="00EC2098" w:rsidP="00475785">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 xml:space="preserve">Инфляция </w:t>
            </w:r>
            <w:r w:rsidRPr="00475785">
              <w:rPr>
                <w:rFonts w:ascii="Verdana" w:eastAsia="Times New Roman" w:hAnsi="Verdana" w:cs="Calibri"/>
                <w:i/>
                <w:iCs/>
                <w:color w:val="000000"/>
                <w:sz w:val="20"/>
                <w:szCs w:val="20"/>
                <w:lang w:eastAsia="ru-RU"/>
              </w:rPr>
              <w:t>(на конец периода)</w:t>
            </w:r>
          </w:p>
        </w:tc>
        <w:tc>
          <w:tcPr>
            <w:tcW w:w="960" w:type="dxa"/>
            <w:tcBorders>
              <w:top w:val="nil"/>
              <w:left w:val="nil"/>
              <w:bottom w:val="nil"/>
              <w:right w:val="nil"/>
            </w:tcBorders>
            <w:shd w:val="clear" w:color="000000" w:fill="E7E8F2"/>
            <w:vAlign w:val="center"/>
            <w:hideMark/>
          </w:tcPr>
          <w:p w14:paraId="6FD742DE"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4</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2</w:t>
            </w:r>
          </w:p>
        </w:tc>
        <w:tc>
          <w:tcPr>
            <w:tcW w:w="960" w:type="dxa"/>
            <w:tcBorders>
              <w:top w:val="nil"/>
              <w:left w:val="nil"/>
              <w:bottom w:val="nil"/>
              <w:right w:val="nil"/>
            </w:tcBorders>
            <w:shd w:val="clear" w:color="000000" w:fill="E7E8F2"/>
            <w:vAlign w:val="center"/>
            <w:hideMark/>
          </w:tcPr>
          <w:p w14:paraId="302D3004" w14:textId="77777777" w:rsidR="00475785" w:rsidRPr="006760CA" w:rsidRDefault="00EC2098" w:rsidP="006760CA">
            <w:pPr>
              <w:spacing w:after="0" w:line="240" w:lineRule="auto"/>
              <w:jc w:val="center"/>
              <w:rPr>
                <w:rFonts w:ascii="Verdana" w:eastAsia="Times New Roman" w:hAnsi="Verdana" w:cs="Calibri"/>
                <w:color w:val="000000"/>
                <w:sz w:val="20"/>
                <w:szCs w:val="20"/>
                <w:lang w:val="en-US" w:eastAsia="ru-RU"/>
              </w:rPr>
            </w:pPr>
            <w:r w:rsidRPr="00475785">
              <w:rPr>
                <w:rFonts w:ascii="Verdana" w:eastAsia="Times New Roman" w:hAnsi="Verdana" w:cs="Calibri"/>
                <w:color w:val="000000"/>
                <w:sz w:val="20"/>
                <w:szCs w:val="20"/>
                <w:lang w:eastAsia="ru-RU"/>
              </w:rPr>
              <w:t>3</w:t>
            </w:r>
            <w:r w:rsidR="00D94005">
              <w:rPr>
                <w:rFonts w:ascii="Verdana" w:eastAsia="Times New Roman" w:hAnsi="Verdana" w:cs="Calibri"/>
                <w:color w:val="000000"/>
                <w:sz w:val="20"/>
                <w:szCs w:val="20"/>
                <w:lang w:eastAsia="ru-RU"/>
              </w:rPr>
              <w:t>,</w:t>
            </w:r>
            <w:r w:rsidR="006760CA">
              <w:rPr>
                <w:rFonts w:ascii="Verdana" w:eastAsia="Times New Roman" w:hAnsi="Verdana" w:cs="Calibri"/>
                <w:color w:val="000000"/>
                <w:sz w:val="20"/>
                <w:szCs w:val="20"/>
                <w:lang w:val="en-US" w:eastAsia="ru-RU"/>
              </w:rPr>
              <w:t>8</w:t>
            </w:r>
          </w:p>
        </w:tc>
        <w:tc>
          <w:tcPr>
            <w:tcW w:w="960" w:type="dxa"/>
            <w:tcBorders>
              <w:top w:val="nil"/>
              <w:left w:val="nil"/>
              <w:bottom w:val="nil"/>
              <w:right w:val="nil"/>
            </w:tcBorders>
            <w:shd w:val="clear" w:color="000000" w:fill="E7E8F2"/>
            <w:vAlign w:val="center"/>
            <w:hideMark/>
          </w:tcPr>
          <w:p w14:paraId="5097DC8C"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4</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1</w:t>
            </w:r>
          </w:p>
        </w:tc>
        <w:tc>
          <w:tcPr>
            <w:tcW w:w="960" w:type="dxa"/>
            <w:tcBorders>
              <w:top w:val="nil"/>
              <w:left w:val="nil"/>
              <w:bottom w:val="nil"/>
              <w:right w:val="nil"/>
            </w:tcBorders>
            <w:shd w:val="clear" w:color="000000" w:fill="E7E8F2"/>
            <w:vAlign w:val="center"/>
            <w:hideMark/>
          </w:tcPr>
          <w:p w14:paraId="6CF4D18E"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6</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0</w:t>
            </w:r>
          </w:p>
        </w:tc>
        <w:tc>
          <w:tcPr>
            <w:tcW w:w="960" w:type="dxa"/>
            <w:tcBorders>
              <w:top w:val="nil"/>
              <w:left w:val="nil"/>
              <w:bottom w:val="nil"/>
              <w:right w:val="nil"/>
            </w:tcBorders>
            <w:shd w:val="clear" w:color="000000" w:fill="E7E8F2"/>
            <w:vAlign w:val="center"/>
            <w:hideMark/>
          </w:tcPr>
          <w:p w14:paraId="0718279B"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5</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8</w:t>
            </w:r>
          </w:p>
        </w:tc>
      </w:tr>
      <w:tr w:rsidR="009F2941" w14:paraId="2C3A17F8" w14:textId="77777777" w:rsidTr="00475785">
        <w:trPr>
          <w:trHeight w:val="540"/>
        </w:trPr>
        <w:tc>
          <w:tcPr>
            <w:tcW w:w="4420" w:type="dxa"/>
            <w:tcBorders>
              <w:top w:val="nil"/>
              <w:left w:val="nil"/>
              <w:bottom w:val="nil"/>
              <w:right w:val="nil"/>
            </w:tcBorders>
            <w:shd w:val="clear" w:color="000000" w:fill="E7E8F2"/>
            <w:vAlign w:val="center"/>
            <w:hideMark/>
          </w:tcPr>
          <w:p w14:paraId="4B1F3497" w14:textId="77777777" w:rsidR="00475785" w:rsidRPr="00475785" w:rsidRDefault="00EC2098" w:rsidP="00475785">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Ставка рефинансирования (в среднем за год)</w:t>
            </w:r>
            <w:r w:rsidR="00D94005">
              <w:rPr>
                <w:rFonts w:ascii="Verdana" w:eastAsia="Times New Roman" w:hAnsi="Verdana" w:cs="Calibri"/>
                <w:bCs/>
                <w:color w:val="000000"/>
                <w:sz w:val="20"/>
                <w:szCs w:val="20"/>
                <w:lang w:eastAsia="ru-RU"/>
              </w:rPr>
              <w:t>,</w:t>
            </w:r>
            <w:r w:rsidRPr="00475785">
              <w:rPr>
                <w:rFonts w:ascii="Verdana" w:eastAsia="Times New Roman" w:hAnsi="Verdana" w:cs="Calibri"/>
                <w:bCs/>
                <w:color w:val="000000"/>
                <w:sz w:val="20"/>
                <w:szCs w:val="20"/>
                <w:lang w:eastAsia="ru-RU"/>
              </w:rPr>
              <w:t xml:space="preserve"> %</w:t>
            </w:r>
          </w:p>
        </w:tc>
        <w:tc>
          <w:tcPr>
            <w:tcW w:w="960" w:type="dxa"/>
            <w:tcBorders>
              <w:top w:val="nil"/>
              <w:left w:val="nil"/>
              <w:bottom w:val="nil"/>
              <w:right w:val="nil"/>
            </w:tcBorders>
            <w:shd w:val="clear" w:color="000000" w:fill="E7E8F2"/>
            <w:vAlign w:val="center"/>
            <w:hideMark/>
          </w:tcPr>
          <w:p w14:paraId="073159C1"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val="en-US" w:eastAsia="ru-RU"/>
              </w:rPr>
              <w:t>13</w:t>
            </w:r>
            <w:r w:rsidR="00D94005">
              <w:rPr>
                <w:rFonts w:ascii="Verdana" w:eastAsia="Times New Roman" w:hAnsi="Verdana" w:cs="Calibri"/>
                <w:color w:val="000000"/>
                <w:sz w:val="20"/>
                <w:szCs w:val="20"/>
                <w:lang w:val="en-US" w:eastAsia="ru-RU"/>
              </w:rPr>
              <w:t>,</w:t>
            </w:r>
            <w:r w:rsidRPr="00475785">
              <w:rPr>
                <w:rFonts w:ascii="Verdana" w:eastAsia="Times New Roman" w:hAnsi="Verdana" w:cs="Calibri"/>
                <w:color w:val="000000"/>
                <w:sz w:val="20"/>
                <w:szCs w:val="20"/>
                <w:lang w:val="en-US" w:eastAsia="ru-RU"/>
              </w:rPr>
              <w:t>3</w:t>
            </w:r>
          </w:p>
        </w:tc>
        <w:tc>
          <w:tcPr>
            <w:tcW w:w="960" w:type="dxa"/>
            <w:tcBorders>
              <w:top w:val="nil"/>
              <w:left w:val="nil"/>
              <w:bottom w:val="nil"/>
              <w:right w:val="nil"/>
            </w:tcBorders>
            <w:shd w:val="clear" w:color="000000" w:fill="E7E8F2"/>
            <w:vAlign w:val="center"/>
            <w:hideMark/>
          </w:tcPr>
          <w:p w14:paraId="0B4CECE0"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10</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5</w:t>
            </w:r>
          </w:p>
        </w:tc>
        <w:tc>
          <w:tcPr>
            <w:tcW w:w="960" w:type="dxa"/>
            <w:tcBorders>
              <w:top w:val="nil"/>
              <w:left w:val="nil"/>
              <w:bottom w:val="nil"/>
              <w:right w:val="nil"/>
            </w:tcBorders>
            <w:shd w:val="clear" w:color="000000" w:fill="E7E8F2"/>
            <w:vAlign w:val="center"/>
            <w:hideMark/>
          </w:tcPr>
          <w:p w14:paraId="212803DA"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9</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3</w:t>
            </w:r>
          </w:p>
        </w:tc>
        <w:tc>
          <w:tcPr>
            <w:tcW w:w="960" w:type="dxa"/>
            <w:tcBorders>
              <w:top w:val="nil"/>
              <w:left w:val="nil"/>
              <w:bottom w:val="nil"/>
              <w:right w:val="nil"/>
            </w:tcBorders>
            <w:shd w:val="clear" w:color="000000" w:fill="E7E8F2"/>
            <w:vAlign w:val="center"/>
            <w:hideMark/>
          </w:tcPr>
          <w:p w14:paraId="172877B2"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9</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7</w:t>
            </w:r>
          </w:p>
        </w:tc>
        <w:tc>
          <w:tcPr>
            <w:tcW w:w="960" w:type="dxa"/>
            <w:tcBorders>
              <w:top w:val="nil"/>
              <w:left w:val="nil"/>
              <w:bottom w:val="nil"/>
              <w:right w:val="nil"/>
            </w:tcBorders>
            <w:shd w:val="clear" w:color="000000" w:fill="E7E8F2"/>
            <w:vAlign w:val="center"/>
            <w:hideMark/>
          </w:tcPr>
          <w:p w14:paraId="0684B5AB"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9</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8</w:t>
            </w:r>
          </w:p>
        </w:tc>
      </w:tr>
      <w:tr w:rsidR="009F2941" w14:paraId="66535A5D" w14:textId="77777777" w:rsidTr="00475785">
        <w:trPr>
          <w:trHeight w:val="310"/>
        </w:trPr>
        <w:tc>
          <w:tcPr>
            <w:tcW w:w="4420" w:type="dxa"/>
            <w:tcBorders>
              <w:top w:val="nil"/>
              <w:left w:val="nil"/>
              <w:bottom w:val="nil"/>
              <w:right w:val="nil"/>
            </w:tcBorders>
            <w:shd w:val="clear" w:color="000000" w:fill="E7E8F2"/>
            <w:vAlign w:val="center"/>
            <w:hideMark/>
          </w:tcPr>
          <w:p w14:paraId="4BB65D6F" w14:textId="77777777" w:rsidR="00475785" w:rsidRPr="00475785" w:rsidRDefault="00EC2098" w:rsidP="00475785">
            <w:pPr>
              <w:spacing w:after="0" w:line="240" w:lineRule="auto"/>
              <w:rPr>
                <w:rFonts w:ascii="Verdana" w:eastAsia="Times New Roman" w:hAnsi="Verdana" w:cs="Calibri"/>
                <w:color w:val="000000"/>
                <w:sz w:val="20"/>
                <w:szCs w:val="20"/>
                <w:lang w:eastAsia="ru-RU"/>
              </w:rPr>
            </w:pPr>
            <w:r w:rsidRPr="00475785">
              <w:rPr>
                <w:rFonts w:ascii="Verdana" w:eastAsia="Times New Roman" w:hAnsi="Verdana" w:cs="Calibri"/>
                <w:bCs/>
                <w:color w:val="000000"/>
                <w:sz w:val="20"/>
                <w:szCs w:val="20"/>
                <w:lang w:eastAsia="ru-RU"/>
              </w:rPr>
              <w:t xml:space="preserve">Курс </w:t>
            </w:r>
            <w:proofErr w:type="spellStart"/>
            <w:r w:rsidRPr="00475785">
              <w:rPr>
                <w:rFonts w:ascii="Verdana" w:eastAsia="Times New Roman" w:hAnsi="Verdana" w:cs="Calibri"/>
                <w:bCs/>
                <w:color w:val="000000"/>
                <w:sz w:val="20"/>
                <w:szCs w:val="20"/>
                <w:lang w:eastAsia="ru-RU"/>
              </w:rPr>
              <w:t>сомони</w:t>
            </w:r>
            <w:proofErr w:type="spellEnd"/>
            <w:r w:rsidRPr="00475785">
              <w:rPr>
                <w:rFonts w:ascii="Verdana" w:eastAsia="Times New Roman" w:hAnsi="Verdana" w:cs="Calibri"/>
                <w:bCs/>
                <w:color w:val="000000"/>
                <w:sz w:val="20"/>
                <w:szCs w:val="20"/>
                <w:lang w:eastAsia="ru-RU"/>
              </w:rPr>
              <w:t xml:space="preserve"> к доллару </w:t>
            </w:r>
            <w:r w:rsidRPr="00475785">
              <w:rPr>
                <w:rFonts w:ascii="Verdana" w:eastAsia="Times New Roman" w:hAnsi="Verdana" w:cs="Calibri"/>
                <w:i/>
                <w:iCs/>
                <w:color w:val="000000"/>
                <w:sz w:val="20"/>
                <w:szCs w:val="20"/>
                <w:lang w:eastAsia="ru-RU"/>
              </w:rPr>
              <w:t>(в среднем за год)</w:t>
            </w:r>
          </w:p>
        </w:tc>
        <w:tc>
          <w:tcPr>
            <w:tcW w:w="960" w:type="dxa"/>
            <w:tcBorders>
              <w:top w:val="nil"/>
              <w:left w:val="nil"/>
              <w:bottom w:val="nil"/>
              <w:right w:val="nil"/>
            </w:tcBorders>
            <w:shd w:val="clear" w:color="000000" w:fill="E7E8F2"/>
            <w:vAlign w:val="center"/>
            <w:hideMark/>
          </w:tcPr>
          <w:p w14:paraId="2E2B4B16"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val="en-US" w:eastAsia="ru-RU"/>
              </w:rPr>
              <w:t>11</w:t>
            </w:r>
            <w:r w:rsidR="00D94005">
              <w:rPr>
                <w:rFonts w:ascii="Verdana" w:eastAsia="Times New Roman" w:hAnsi="Verdana" w:cs="Calibri"/>
                <w:color w:val="000000"/>
                <w:sz w:val="20"/>
                <w:szCs w:val="20"/>
                <w:lang w:val="en-US" w:eastAsia="ru-RU"/>
              </w:rPr>
              <w:t>,</w:t>
            </w:r>
            <w:r w:rsidRPr="00475785">
              <w:rPr>
                <w:rFonts w:ascii="Verdana" w:eastAsia="Times New Roman" w:hAnsi="Verdana" w:cs="Calibri"/>
                <w:color w:val="000000"/>
                <w:sz w:val="20"/>
                <w:szCs w:val="20"/>
                <w:lang w:val="en-US" w:eastAsia="ru-RU"/>
              </w:rPr>
              <w:t>0</w:t>
            </w:r>
          </w:p>
        </w:tc>
        <w:tc>
          <w:tcPr>
            <w:tcW w:w="960" w:type="dxa"/>
            <w:tcBorders>
              <w:top w:val="nil"/>
              <w:left w:val="nil"/>
              <w:bottom w:val="nil"/>
              <w:right w:val="nil"/>
            </w:tcBorders>
            <w:shd w:val="clear" w:color="000000" w:fill="E7E8F2"/>
            <w:vAlign w:val="center"/>
            <w:hideMark/>
          </w:tcPr>
          <w:p w14:paraId="4DEC43B6"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10</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8</w:t>
            </w:r>
          </w:p>
        </w:tc>
        <w:tc>
          <w:tcPr>
            <w:tcW w:w="960" w:type="dxa"/>
            <w:tcBorders>
              <w:top w:val="nil"/>
              <w:left w:val="nil"/>
              <w:bottom w:val="nil"/>
              <w:right w:val="nil"/>
            </w:tcBorders>
            <w:shd w:val="clear" w:color="000000" w:fill="E7E8F2"/>
            <w:vAlign w:val="center"/>
            <w:hideMark/>
          </w:tcPr>
          <w:p w14:paraId="7BEE8A36"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10</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9</w:t>
            </w:r>
          </w:p>
        </w:tc>
        <w:tc>
          <w:tcPr>
            <w:tcW w:w="960" w:type="dxa"/>
            <w:tcBorders>
              <w:top w:val="nil"/>
              <w:left w:val="nil"/>
              <w:bottom w:val="nil"/>
              <w:right w:val="nil"/>
            </w:tcBorders>
            <w:shd w:val="clear" w:color="000000" w:fill="E7E8F2"/>
            <w:vAlign w:val="center"/>
            <w:hideMark/>
          </w:tcPr>
          <w:p w14:paraId="09392571"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11</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1</w:t>
            </w:r>
          </w:p>
        </w:tc>
        <w:tc>
          <w:tcPr>
            <w:tcW w:w="960" w:type="dxa"/>
            <w:tcBorders>
              <w:top w:val="nil"/>
              <w:left w:val="nil"/>
              <w:bottom w:val="nil"/>
              <w:right w:val="nil"/>
            </w:tcBorders>
            <w:shd w:val="clear" w:color="000000" w:fill="E7E8F2"/>
            <w:vAlign w:val="center"/>
            <w:hideMark/>
          </w:tcPr>
          <w:p w14:paraId="705E2236" w14:textId="77777777" w:rsidR="00475785" w:rsidRPr="00475785" w:rsidRDefault="00EC2098" w:rsidP="00475785">
            <w:pPr>
              <w:spacing w:after="0" w:line="240" w:lineRule="auto"/>
              <w:jc w:val="center"/>
              <w:rPr>
                <w:rFonts w:ascii="Verdana" w:eastAsia="Times New Roman" w:hAnsi="Verdana" w:cs="Calibri"/>
                <w:color w:val="000000"/>
                <w:sz w:val="20"/>
                <w:szCs w:val="20"/>
                <w:lang w:eastAsia="ru-RU"/>
              </w:rPr>
            </w:pPr>
            <w:r w:rsidRPr="00475785">
              <w:rPr>
                <w:rFonts w:ascii="Verdana" w:eastAsia="Times New Roman" w:hAnsi="Verdana" w:cs="Calibri"/>
                <w:color w:val="000000"/>
                <w:sz w:val="20"/>
                <w:szCs w:val="20"/>
                <w:lang w:eastAsia="ru-RU"/>
              </w:rPr>
              <w:t>11</w:t>
            </w:r>
            <w:r w:rsidR="00D94005">
              <w:rPr>
                <w:rFonts w:ascii="Verdana" w:eastAsia="Times New Roman" w:hAnsi="Verdana" w:cs="Calibri"/>
                <w:color w:val="000000"/>
                <w:sz w:val="20"/>
                <w:szCs w:val="20"/>
                <w:lang w:eastAsia="ru-RU"/>
              </w:rPr>
              <w:t>,</w:t>
            </w:r>
            <w:r w:rsidRPr="00475785">
              <w:rPr>
                <w:rFonts w:ascii="Verdana" w:eastAsia="Times New Roman" w:hAnsi="Verdana" w:cs="Calibri"/>
                <w:color w:val="000000"/>
                <w:sz w:val="20"/>
                <w:szCs w:val="20"/>
                <w:lang w:eastAsia="ru-RU"/>
              </w:rPr>
              <w:t>4</w:t>
            </w:r>
          </w:p>
        </w:tc>
      </w:tr>
      <w:tr w:rsidR="009F2941" w14:paraId="79FD3CB8" w14:textId="77777777" w:rsidTr="00475785">
        <w:trPr>
          <w:trHeight w:val="530"/>
        </w:trPr>
        <w:tc>
          <w:tcPr>
            <w:tcW w:w="9220" w:type="dxa"/>
            <w:gridSpan w:val="6"/>
            <w:tcBorders>
              <w:top w:val="nil"/>
              <w:left w:val="nil"/>
              <w:bottom w:val="nil"/>
              <w:right w:val="nil"/>
            </w:tcBorders>
            <w:shd w:val="clear" w:color="auto" w:fill="auto"/>
            <w:vAlign w:val="center"/>
            <w:hideMark/>
          </w:tcPr>
          <w:p w14:paraId="26BE9F97" w14:textId="77777777" w:rsidR="00475785" w:rsidRPr="006760CA" w:rsidRDefault="00EC2098" w:rsidP="00475785">
            <w:pPr>
              <w:spacing w:after="0" w:line="240" w:lineRule="auto"/>
              <w:rPr>
                <w:rFonts w:ascii="Verdana" w:eastAsia="Times New Roman" w:hAnsi="Verdana" w:cs="Calibri"/>
                <w:bCs/>
                <w:color w:val="000000"/>
                <w:sz w:val="20"/>
                <w:szCs w:val="20"/>
                <w:lang w:eastAsia="ru-RU"/>
              </w:rPr>
            </w:pPr>
            <w:proofErr w:type="spellStart"/>
            <w:r w:rsidRPr="006760CA">
              <w:rPr>
                <w:rFonts w:ascii="Verdana" w:eastAsia="Times New Roman" w:hAnsi="Verdana" w:cs="Calibri"/>
                <w:bCs/>
                <w:color w:val="000000"/>
                <w:sz w:val="20"/>
                <w:szCs w:val="20"/>
                <w:lang w:eastAsia="ru-RU"/>
              </w:rPr>
              <w:t>Примечание:П</w:t>
            </w:r>
            <w:proofErr w:type="spellEnd"/>
            <w:r w:rsidRPr="006760CA">
              <w:rPr>
                <w:rFonts w:ascii="Verdana" w:eastAsia="Times New Roman" w:hAnsi="Verdana" w:cs="Calibri"/>
                <w:bCs/>
                <w:color w:val="000000"/>
                <w:sz w:val="20"/>
                <w:szCs w:val="20"/>
                <w:lang w:eastAsia="ru-RU"/>
              </w:rPr>
              <w:t xml:space="preserve"> — «прогноз»</w:t>
            </w:r>
            <w:r w:rsidR="00D94005" w:rsidRPr="006760CA">
              <w:rPr>
                <w:rFonts w:ascii="Verdana" w:eastAsia="Times New Roman" w:hAnsi="Verdana" w:cs="Calibri"/>
                <w:bCs/>
                <w:color w:val="000000"/>
                <w:sz w:val="20"/>
                <w:szCs w:val="20"/>
                <w:lang w:eastAsia="ru-RU"/>
              </w:rPr>
              <w:t>,</w:t>
            </w:r>
            <w:r w:rsidRPr="006760CA">
              <w:rPr>
                <w:rFonts w:ascii="Verdana" w:eastAsia="Times New Roman" w:hAnsi="Verdana" w:cs="Calibri"/>
                <w:bCs/>
                <w:color w:val="000000"/>
                <w:sz w:val="20"/>
                <w:szCs w:val="20"/>
                <w:lang w:eastAsia="ru-RU"/>
              </w:rPr>
              <w:t xml:space="preserve"> ВВП</w:t>
            </w:r>
            <w:r w:rsidR="00D94005" w:rsidRPr="006760CA">
              <w:rPr>
                <w:rFonts w:ascii="Verdana" w:eastAsia="Times New Roman" w:hAnsi="Verdana" w:cs="Calibri"/>
                <w:bCs/>
                <w:color w:val="000000"/>
                <w:sz w:val="20"/>
                <w:szCs w:val="20"/>
                <w:lang w:eastAsia="ru-RU"/>
              </w:rPr>
              <w:t>,</w:t>
            </w:r>
            <w:r w:rsidRPr="006760CA">
              <w:rPr>
                <w:rFonts w:ascii="Verdana" w:eastAsia="Times New Roman" w:hAnsi="Verdana" w:cs="Calibri"/>
                <w:bCs/>
                <w:color w:val="000000"/>
                <w:sz w:val="20"/>
                <w:szCs w:val="20"/>
                <w:lang w:eastAsia="ru-RU"/>
              </w:rPr>
              <w:t xml:space="preserve"> инфляция — % год к году; курс к доллару — единиц национальной валюты за 1 доллар</w:t>
            </w:r>
          </w:p>
        </w:tc>
      </w:tr>
      <w:tr w:rsidR="009F2941" w14:paraId="7C710720" w14:textId="77777777" w:rsidTr="00475785">
        <w:trPr>
          <w:trHeight w:val="600"/>
        </w:trPr>
        <w:tc>
          <w:tcPr>
            <w:tcW w:w="9220" w:type="dxa"/>
            <w:gridSpan w:val="6"/>
            <w:tcBorders>
              <w:top w:val="nil"/>
              <w:left w:val="nil"/>
              <w:bottom w:val="nil"/>
              <w:right w:val="nil"/>
            </w:tcBorders>
            <w:shd w:val="clear" w:color="auto" w:fill="auto"/>
            <w:vAlign w:val="center"/>
            <w:hideMark/>
          </w:tcPr>
          <w:p w14:paraId="030F4905" w14:textId="77777777" w:rsidR="00475785" w:rsidRPr="006760CA" w:rsidRDefault="00EC2098" w:rsidP="00475785">
            <w:pPr>
              <w:spacing w:after="0" w:line="240" w:lineRule="auto"/>
              <w:rPr>
                <w:rFonts w:ascii="Verdana" w:eastAsia="Times New Roman" w:hAnsi="Verdana" w:cs="Calibri"/>
                <w:bCs/>
                <w:i/>
                <w:iCs/>
                <w:color w:val="000000"/>
                <w:sz w:val="20"/>
                <w:szCs w:val="20"/>
                <w:lang w:eastAsia="ru-RU"/>
              </w:rPr>
            </w:pPr>
            <w:r w:rsidRPr="006760CA">
              <w:rPr>
                <w:rFonts w:ascii="Verdana" w:eastAsia="Times New Roman" w:hAnsi="Verdana" w:cs="Calibri"/>
                <w:bCs/>
                <w:i/>
                <w:iCs/>
                <w:color w:val="000000"/>
                <w:sz w:val="20"/>
                <w:szCs w:val="20"/>
                <w:lang w:eastAsia="ru-RU"/>
              </w:rPr>
              <w:t>Источники: национальные ведомства государств — участников ЕАБР</w:t>
            </w:r>
            <w:r w:rsidR="00D94005" w:rsidRPr="006760CA">
              <w:rPr>
                <w:rFonts w:ascii="Verdana" w:eastAsia="Times New Roman" w:hAnsi="Verdana" w:cs="Calibri"/>
                <w:bCs/>
                <w:i/>
                <w:iCs/>
                <w:color w:val="000000"/>
                <w:sz w:val="20"/>
                <w:szCs w:val="20"/>
                <w:lang w:eastAsia="ru-RU"/>
              </w:rPr>
              <w:t>,</w:t>
            </w:r>
            <w:r w:rsidRPr="006760CA">
              <w:rPr>
                <w:rFonts w:ascii="Verdana" w:eastAsia="Times New Roman" w:hAnsi="Verdana" w:cs="Calibri"/>
                <w:bCs/>
                <w:i/>
                <w:iCs/>
                <w:color w:val="000000"/>
                <w:sz w:val="20"/>
                <w:szCs w:val="20"/>
                <w:lang w:eastAsia="ru-RU"/>
              </w:rPr>
              <w:t xml:space="preserve"> расчеты аналитиков ЕАБР</w:t>
            </w:r>
          </w:p>
        </w:tc>
      </w:tr>
    </w:tbl>
    <w:p w14:paraId="172B4D51" w14:textId="77777777" w:rsidR="004D67D8" w:rsidRPr="004D67D8" w:rsidRDefault="00EC2098" w:rsidP="00922160">
      <w:pPr>
        <w:spacing w:after="0" w:line="240" w:lineRule="auto"/>
        <w:jc w:val="both"/>
        <w:rPr>
          <w:rFonts w:ascii="Verdana" w:hAnsi="Verdana" w:cs="Arial"/>
          <w:sz w:val="20"/>
          <w:szCs w:val="20"/>
        </w:rPr>
      </w:pPr>
      <w:r>
        <w:rPr>
          <w:rFonts w:ascii="Verdana" w:hAnsi="Verdana" w:cs="Arial"/>
          <w:b/>
          <w:sz w:val="20"/>
          <w:szCs w:val="20"/>
        </w:rPr>
        <w:fldChar w:fldCharType="end"/>
      </w:r>
      <w:r w:rsidR="00E71E36" w:rsidRPr="004D67D8">
        <w:rPr>
          <w:rFonts w:ascii="Verdana" w:hAnsi="Verdana" w:cs="Arial"/>
          <w:sz w:val="20"/>
          <w:szCs w:val="20"/>
        </w:rPr>
        <w:t xml:space="preserve">Подробнее с содержанием Макроэкономического прогноза можно ознакомиться на </w:t>
      </w:r>
      <w:hyperlink r:id="rId5" w:history="1">
        <w:r w:rsidR="00E71E36" w:rsidRPr="004D67D8">
          <w:rPr>
            <w:rStyle w:val="a4"/>
            <w:rFonts w:ascii="Verdana" w:hAnsi="Verdana" w:cs="Arial"/>
            <w:sz w:val="20"/>
            <w:szCs w:val="20"/>
          </w:rPr>
          <w:t>сайте Банка</w:t>
        </w:r>
      </w:hyperlink>
      <w:r w:rsidR="00E71E36" w:rsidRPr="004D67D8">
        <w:rPr>
          <w:rFonts w:ascii="Verdana" w:hAnsi="Verdana" w:cs="Arial"/>
          <w:sz w:val="20"/>
          <w:szCs w:val="20"/>
        </w:rPr>
        <w:t>.</w:t>
      </w:r>
    </w:p>
    <w:p w14:paraId="7341DC30" w14:textId="77777777" w:rsidR="00922160" w:rsidRDefault="00922160" w:rsidP="004D67D8">
      <w:pPr>
        <w:pStyle w:val="a3"/>
        <w:shd w:val="clear" w:color="auto" w:fill="FFFFFF"/>
        <w:spacing w:before="0" w:beforeAutospacing="0" w:after="120" w:afterAutospacing="0"/>
        <w:textAlignment w:val="baseline"/>
        <w:rPr>
          <w:rFonts w:ascii="Verdana" w:hAnsi="Verdana" w:cs="Arial"/>
          <w:b/>
          <w:bCs/>
          <w:i/>
          <w:iCs/>
          <w:color w:val="000000"/>
          <w:spacing w:val="-2"/>
          <w:sz w:val="20"/>
          <w:szCs w:val="20"/>
          <w:bdr w:val="none" w:sz="0" w:space="0" w:color="auto" w:frame="1"/>
        </w:rPr>
      </w:pPr>
    </w:p>
    <w:p w14:paraId="40A90D61" w14:textId="77777777" w:rsidR="004D67D8" w:rsidRPr="004D67D8" w:rsidRDefault="00EC2098" w:rsidP="00922160">
      <w:pPr>
        <w:pStyle w:val="a3"/>
        <w:shd w:val="clear" w:color="auto" w:fill="FFFFFF"/>
        <w:spacing w:before="0" w:beforeAutospacing="0" w:after="0" w:afterAutospacing="0"/>
        <w:textAlignment w:val="baseline"/>
        <w:rPr>
          <w:rFonts w:ascii="Verdana" w:hAnsi="Verdana" w:cs="Arial"/>
          <w:color w:val="000000"/>
          <w:spacing w:val="-2"/>
          <w:sz w:val="20"/>
          <w:szCs w:val="20"/>
        </w:rPr>
      </w:pPr>
      <w:r w:rsidRPr="004D67D8">
        <w:rPr>
          <w:rFonts w:ascii="Verdana" w:hAnsi="Verdana" w:cs="Arial"/>
          <w:b/>
          <w:bCs/>
          <w:i/>
          <w:iCs/>
          <w:color w:val="000000"/>
          <w:spacing w:val="-2"/>
          <w:sz w:val="20"/>
          <w:szCs w:val="20"/>
          <w:bdr w:val="none" w:sz="0" w:space="0" w:color="auto" w:frame="1"/>
        </w:rPr>
        <w:t>Справка</w:t>
      </w:r>
    </w:p>
    <w:p w14:paraId="30732A77" w14:textId="77777777" w:rsidR="00DF2708" w:rsidRPr="00417D6A" w:rsidRDefault="00EC2098" w:rsidP="00922160">
      <w:pPr>
        <w:pStyle w:val="ArialRegular12pt"/>
        <w:spacing w:before="120" w:after="0" w:line="240" w:lineRule="auto"/>
        <w:rPr>
          <w:rFonts w:ascii="Verdana" w:hAnsi="Verdana"/>
          <w:sz w:val="20"/>
          <w:lang w:eastAsia="en-US"/>
        </w:rPr>
      </w:pPr>
      <w:r w:rsidRPr="00417D6A">
        <w:rPr>
          <w:rFonts w:ascii="Verdana" w:hAnsi="Verdana"/>
          <w:b/>
          <w:sz w:val="20"/>
          <w:lang w:eastAsia="en-US"/>
        </w:rPr>
        <w:t>Евразийский банк развития</w:t>
      </w:r>
      <w:r w:rsidRPr="00417D6A">
        <w:rPr>
          <w:rFonts w:ascii="Verdana" w:hAnsi="Verdana" w:hint="eastAsia"/>
          <w:b/>
          <w:sz w:val="20"/>
          <w:lang w:eastAsia="en-US"/>
        </w:rPr>
        <w:t> </w:t>
      </w:r>
      <w:r w:rsidRPr="00417D6A">
        <w:rPr>
          <w:rFonts w:ascii="Verdana" w:hAnsi="Verdana"/>
          <w:b/>
          <w:sz w:val="20"/>
          <w:lang w:eastAsia="en-US"/>
        </w:rPr>
        <w:t>(ЕАБР)</w:t>
      </w:r>
      <w:r w:rsidRPr="00417D6A">
        <w:rPr>
          <w:rFonts w:ascii="Verdana" w:hAnsi="Verdana"/>
          <w:sz w:val="20"/>
          <w:lang w:eastAsia="en-US"/>
        </w:rPr>
        <w:t> </w:t>
      </w:r>
      <w:r w:rsidRPr="00417D6A">
        <w:rPr>
          <w:rFonts w:ascii="Verdana" w:hAnsi="Verdana" w:hint="eastAsia"/>
          <w:sz w:val="20"/>
          <w:lang w:eastAsia="en-US"/>
        </w:rPr>
        <w:t>—</w:t>
      </w:r>
      <w:r w:rsidRPr="00417D6A">
        <w:rPr>
          <w:rFonts w:ascii="Verdana" w:hAnsi="Verdana"/>
          <w:sz w:val="20"/>
          <w:lang w:eastAsia="en-US"/>
        </w:rPr>
        <w:t xml:space="preserve"> многосторонний банк развития, осуществляющий инвестиционную деятельность на евразийском пространстве. Уже более 18 лет ЕАБР содействует укреплению </w:t>
      </w:r>
      <w:r w:rsidRPr="00417D6A">
        <w:rPr>
          <w:rFonts w:ascii="Verdana" w:hAnsi="Verdana" w:hint="eastAsia"/>
          <w:sz w:val="20"/>
          <w:lang w:eastAsia="en-US"/>
        </w:rPr>
        <w:t>и</w:t>
      </w:r>
      <w:r w:rsidRPr="00417D6A">
        <w:rPr>
          <w:rFonts w:ascii="Verdana" w:hAnsi="Verdana"/>
          <w:sz w:val="20"/>
          <w:lang w:eastAsia="en-US"/>
        </w:rPr>
        <w:t xml:space="preserve"> </w:t>
      </w:r>
      <w:r w:rsidR="00922160" w:rsidRPr="00922160">
        <w:rPr>
          <w:rFonts w:ascii="Verdana" w:hAnsi="Verdana" w:cstheme="minorHAnsi"/>
          <w:sz w:val="20"/>
          <w:lang w:eastAsia="en-US"/>
        </w:rPr>
        <w:t>расширению экономических связей</w:t>
      </w:r>
      <w:r w:rsidR="00922160" w:rsidRPr="00417D6A">
        <w:rPr>
          <w:rFonts w:ascii="Verdana" w:hAnsi="Verdana"/>
          <w:sz w:val="20"/>
          <w:lang w:eastAsia="en-US"/>
        </w:rPr>
        <w:t>,</w:t>
      </w:r>
      <w:r w:rsidRPr="00417D6A">
        <w:rPr>
          <w:rFonts w:ascii="Verdana" w:hAnsi="Verdana"/>
          <w:sz w:val="20"/>
          <w:lang w:eastAsia="en-US"/>
        </w:rPr>
        <w:t xml:space="preserve"> и всестороннему развитию стран-участниц. Уставный капитал</w:t>
      </w:r>
      <w:r w:rsidR="00922160">
        <w:rPr>
          <w:rFonts w:ascii="Verdana" w:hAnsi="Verdana"/>
          <w:sz w:val="20"/>
          <w:lang w:eastAsia="en-US"/>
        </w:rPr>
        <w:t xml:space="preserve"> ЕАБР составляет 7 млрд долл</w:t>
      </w:r>
      <w:r w:rsidRPr="00417D6A">
        <w:rPr>
          <w:rFonts w:ascii="Verdana" w:hAnsi="Verdana"/>
          <w:sz w:val="20"/>
          <w:lang w:eastAsia="en-US"/>
        </w:rPr>
        <w:t xml:space="preserve">. Основную долю в портфеле ЕАБР занимают проекты с интеграционным эффектом в сферах транспортной инфраструктуры, цифровых систем, зеленой энергетики, сельского хозяйства, промышленности и машиностроения. В своей деятельности Банк руководствуется Целями в области устойчивого развития ООН </w:t>
      </w:r>
      <w:r w:rsidR="00922160">
        <w:rPr>
          <w:rFonts w:ascii="Verdana" w:hAnsi="Verdana"/>
          <w:sz w:val="20"/>
          <w:lang w:eastAsia="en-US"/>
        </w:rPr>
        <w:t xml:space="preserve">и принципами </w:t>
      </w:r>
      <w:r w:rsidRPr="00417D6A">
        <w:rPr>
          <w:rFonts w:ascii="Verdana" w:hAnsi="Verdana"/>
          <w:sz w:val="20"/>
          <w:lang w:eastAsia="en-US"/>
        </w:rPr>
        <w:t>ESG.</w:t>
      </w:r>
    </w:p>
    <w:p w14:paraId="4D30E41B" w14:textId="77777777" w:rsidR="00DF2708" w:rsidRPr="00417D6A" w:rsidRDefault="00DF2708" w:rsidP="00DF2708">
      <w:pPr>
        <w:pStyle w:val="a3"/>
        <w:shd w:val="clear" w:color="auto" w:fill="FFFFFF"/>
        <w:spacing w:before="0" w:beforeAutospacing="0" w:after="0" w:afterAutospacing="0" w:line="375" w:lineRule="atLeast"/>
        <w:textAlignment w:val="baseline"/>
        <w:rPr>
          <w:rFonts w:ascii="Verdana" w:hAnsi="Verdana" w:cs="Arial"/>
          <w:color w:val="000000"/>
          <w:spacing w:val="-2"/>
          <w:sz w:val="22"/>
          <w:szCs w:val="22"/>
        </w:rPr>
      </w:pPr>
    </w:p>
    <w:p w14:paraId="67ABC795" w14:textId="77777777" w:rsidR="004D67D8" w:rsidRPr="004D67D8" w:rsidRDefault="00EC2098" w:rsidP="004D67D8">
      <w:pPr>
        <w:pStyle w:val="a3"/>
        <w:shd w:val="clear" w:color="auto" w:fill="FFFFFF"/>
        <w:spacing w:before="0" w:beforeAutospacing="0" w:after="120" w:afterAutospacing="0"/>
        <w:textAlignment w:val="baseline"/>
        <w:rPr>
          <w:rFonts w:ascii="Verdana" w:hAnsi="Verdana" w:cs="Arial"/>
          <w:color w:val="000000"/>
          <w:spacing w:val="-2"/>
          <w:sz w:val="20"/>
          <w:szCs w:val="20"/>
        </w:rPr>
      </w:pPr>
      <w:r w:rsidRPr="004D67D8">
        <w:rPr>
          <w:rFonts w:ascii="Verdana" w:hAnsi="Verdana" w:cs="Arial"/>
          <w:b/>
          <w:bCs/>
          <w:color w:val="000000"/>
          <w:spacing w:val="-2"/>
          <w:sz w:val="20"/>
          <w:szCs w:val="20"/>
          <w:bdr w:val="none" w:sz="0" w:space="0" w:color="auto" w:frame="1"/>
        </w:rPr>
        <w:t>Контакты пресс-центра ЕАБР:</w:t>
      </w:r>
    </w:p>
    <w:p w14:paraId="44148EEC" w14:textId="77777777" w:rsidR="004D67D8" w:rsidRPr="004D67D8" w:rsidRDefault="00EC2098" w:rsidP="004D67D8">
      <w:pPr>
        <w:pStyle w:val="a3"/>
        <w:shd w:val="clear" w:color="auto" w:fill="FFFFFF"/>
        <w:spacing w:before="0" w:beforeAutospacing="0" w:after="120" w:afterAutospacing="0"/>
        <w:textAlignment w:val="baseline"/>
        <w:rPr>
          <w:rFonts w:ascii="Verdana" w:hAnsi="Verdana" w:cs="Arial"/>
          <w:color w:val="000000"/>
          <w:spacing w:val="-2"/>
          <w:sz w:val="20"/>
          <w:szCs w:val="20"/>
        </w:rPr>
      </w:pPr>
      <w:r w:rsidRPr="004D67D8">
        <w:rPr>
          <w:rFonts w:ascii="Verdana" w:hAnsi="Verdana" w:cs="Arial"/>
          <w:i/>
          <w:iCs/>
          <w:color w:val="000000"/>
          <w:spacing w:val="-2"/>
          <w:sz w:val="20"/>
          <w:szCs w:val="20"/>
          <w:bdr w:val="none" w:sz="0" w:space="0" w:color="auto" w:frame="1"/>
        </w:rPr>
        <w:t>+7 (727) 244 40 44, доб. 6147</w:t>
      </w:r>
    </w:p>
    <w:p w14:paraId="63BBCDDF" w14:textId="77777777" w:rsidR="004D67D8" w:rsidRPr="004D67D8" w:rsidRDefault="00C1037C" w:rsidP="004D67D8">
      <w:pPr>
        <w:pStyle w:val="a3"/>
        <w:shd w:val="clear" w:color="auto" w:fill="FFFFFF"/>
        <w:spacing w:before="0" w:beforeAutospacing="0" w:after="120" w:afterAutospacing="0"/>
        <w:textAlignment w:val="baseline"/>
        <w:rPr>
          <w:rFonts w:ascii="Verdana" w:hAnsi="Verdana" w:cs="Arial"/>
          <w:color w:val="000000"/>
          <w:spacing w:val="-2"/>
          <w:sz w:val="20"/>
          <w:szCs w:val="20"/>
        </w:rPr>
      </w:pPr>
      <w:hyperlink r:id="rId6" w:history="1">
        <w:r w:rsidR="00E71E36" w:rsidRPr="004D67D8">
          <w:rPr>
            <w:rStyle w:val="a4"/>
            <w:rFonts w:ascii="Verdana" w:hAnsi="Verdana" w:cs="Arial"/>
            <w:i/>
            <w:iCs/>
            <w:spacing w:val="-2"/>
            <w:sz w:val="20"/>
            <w:szCs w:val="20"/>
            <w:bdr w:val="none" w:sz="0" w:space="0" w:color="auto" w:frame="1"/>
          </w:rPr>
          <w:t>pressa@eabr.org</w:t>
        </w:r>
      </w:hyperlink>
    </w:p>
    <w:p w14:paraId="36D5D18F" w14:textId="77777777" w:rsidR="004D67D8" w:rsidRDefault="00C1037C" w:rsidP="004D67D8">
      <w:pPr>
        <w:pStyle w:val="a3"/>
        <w:shd w:val="clear" w:color="auto" w:fill="FFFFFF"/>
        <w:spacing w:before="0" w:beforeAutospacing="0" w:after="120" w:afterAutospacing="0"/>
        <w:textAlignment w:val="baseline"/>
        <w:rPr>
          <w:rStyle w:val="a4"/>
          <w:rFonts w:ascii="Verdana" w:hAnsi="Verdana" w:cs="Arial"/>
          <w:i/>
          <w:iCs/>
          <w:spacing w:val="-2"/>
          <w:sz w:val="20"/>
          <w:szCs w:val="20"/>
          <w:bdr w:val="none" w:sz="0" w:space="0" w:color="auto" w:frame="1"/>
        </w:rPr>
      </w:pPr>
      <w:hyperlink r:id="rId7" w:history="1">
        <w:r w:rsidR="00E71E36" w:rsidRPr="004D67D8">
          <w:rPr>
            <w:rStyle w:val="a4"/>
            <w:rFonts w:ascii="Verdana" w:hAnsi="Verdana" w:cs="Arial"/>
            <w:i/>
            <w:iCs/>
            <w:spacing w:val="-2"/>
            <w:sz w:val="20"/>
            <w:szCs w:val="20"/>
            <w:bdr w:val="none" w:sz="0" w:space="0" w:color="auto" w:frame="1"/>
          </w:rPr>
          <w:t>www.eabr.org</w:t>
        </w:r>
      </w:hyperlink>
    </w:p>
    <w:p w14:paraId="43D523DB" w14:textId="77777777" w:rsidR="00DF2708" w:rsidRPr="004D67D8" w:rsidRDefault="00DF2708" w:rsidP="004D67D8">
      <w:pPr>
        <w:pStyle w:val="a3"/>
        <w:shd w:val="clear" w:color="auto" w:fill="FFFFFF"/>
        <w:spacing w:before="0" w:beforeAutospacing="0" w:after="120" w:afterAutospacing="0"/>
        <w:textAlignment w:val="baseline"/>
        <w:rPr>
          <w:rFonts w:ascii="Verdana" w:hAnsi="Verdana" w:cs="Arial"/>
          <w:color w:val="000000"/>
          <w:spacing w:val="-2"/>
          <w:sz w:val="20"/>
          <w:szCs w:val="20"/>
        </w:rPr>
      </w:pPr>
    </w:p>
    <w:p w14:paraId="62CD5848" w14:textId="77777777" w:rsidR="004D67D8" w:rsidRPr="004D67D8" w:rsidRDefault="004D67D8" w:rsidP="004D67D8">
      <w:pPr>
        <w:rPr>
          <w:rFonts w:ascii="Verdana" w:hAnsi="Verdana"/>
          <w:sz w:val="20"/>
          <w:szCs w:val="20"/>
        </w:rPr>
      </w:pPr>
    </w:p>
    <w:p w14:paraId="7AC0A62F" w14:textId="77777777" w:rsidR="006F45DB" w:rsidRDefault="00EC2098" w:rsidP="00592C85">
      <w:pPr>
        <w:spacing w:after="0" w:line="360" w:lineRule="auto"/>
        <w:ind w:firstLine="2410"/>
        <w:jc w:val="both"/>
        <w:rPr>
          <w:rFonts w:ascii="Verdana" w:eastAsia="Times New Roman" w:hAnsi="Verdana"/>
          <w:b/>
          <w:sz w:val="20"/>
          <w:szCs w:val="20"/>
        </w:rPr>
      </w:pPr>
      <w:r w:rsidRPr="004D67D8">
        <w:rPr>
          <w:rFonts w:ascii="Verdana" w:hAnsi="Verdana" w:cs="Arial"/>
          <w:noProof/>
          <w:sz w:val="20"/>
          <w:szCs w:val="20"/>
          <w:lang w:eastAsia="ru-RU"/>
        </w:rPr>
        <w:drawing>
          <wp:inline distT="0" distB="0" distL="0" distR="0" wp14:anchorId="6F37432F" wp14:editId="36194368">
            <wp:extent cx="3086100" cy="412750"/>
            <wp:effectExtent l="0" t="0" r="0" b="0"/>
            <wp:docPr id="967495350" name="Picture 967495350" descr="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011128" name="Рисунок 4" descr="logo_ne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86100" cy="412750"/>
                    </a:xfrm>
                    <a:prstGeom prst="rect">
                      <a:avLst/>
                    </a:prstGeom>
                    <a:noFill/>
                    <a:ln>
                      <a:noFill/>
                    </a:ln>
                  </pic:spPr>
                </pic:pic>
              </a:graphicData>
            </a:graphic>
          </wp:inline>
        </w:drawing>
      </w:r>
    </w:p>
    <w:p w14:paraId="4BB445B8" w14:textId="09A4A237" w:rsidR="006F45DB" w:rsidRPr="00310511" w:rsidRDefault="00EC2098" w:rsidP="004D67D8">
      <w:pPr>
        <w:spacing w:after="120" w:line="240" w:lineRule="auto"/>
        <w:jc w:val="both"/>
        <w:rPr>
          <w:rFonts w:ascii="Verdana" w:hAnsi="Verdana" w:cs="Arial"/>
          <w:b/>
          <w:bCs/>
          <w:sz w:val="20"/>
          <w:szCs w:val="20"/>
          <w:lang w:val="en-US"/>
        </w:rPr>
      </w:pPr>
      <w:r w:rsidRPr="006F45DB">
        <w:rPr>
          <w:rFonts w:ascii="Verdana" w:eastAsia="Times New Roman" w:hAnsi="Verdana"/>
          <w:b/>
          <w:sz w:val="20"/>
          <w:szCs w:val="20"/>
          <w:lang w:val="en-US"/>
        </w:rPr>
        <w:br w:type="page"/>
      </w:r>
      <w:r>
        <w:rPr>
          <w:rFonts w:ascii="Verdana" w:hAnsi="Verdana" w:cs="Arial"/>
          <w:b/>
          <w:bCs/>
          <w:sz w:val="20"/>
          <w:szCs w:val="20"/>
          <w:lang w:val="en-GB"/>
        </w:rPr>
        <w:lastRenderedPageBreak/>
        <w:t xml:space="preserve">The EDB Macroeconomic Outlook 2024–2026: </w:t>
      </w:r>
      <w:r w:rsidR="00F65EDF">
        <w:rPr>
          <w:rFonts w:ascii="Verdana" w:hAnsi="Verdana" w:cs="Arial"/>
          <w:b/>
          <w:bCs/>
          <w:sz w:val="20"/>
          <w:szCs w:val="20"/>
          <w:lang w:val="en-US"/>
        </w:rPr>
        <w:t xml:space="preserve">EDB raises </w:t>
      </w:r>
      <w:r>
        <w:rPr>
          <w:rFonts w:ascii="Verdana" w:hAnsi="Verdana" w:cs="Arial"/>
          <w:b/>
          <w:bCs/>
          <w:sz w:val="20"/>
          <w:szCs w:val="20"/>
          <w:lang w:val="en-GB"/>
        </w:rPr>
        <w:t>econ</w:t>
      </w:r>
      <w:r w:rsidR="00F65EDF">
        <w:rPr>
          <w:rFonts w:ascii="Verdana" w:hAnsi="Verdana" w:cs="Arial"/>
          <w:b/>
          <w:bCs/>
          <w:sz w:val="20"/>
          <w:szCs w:val="20"/>
          <w:lang w:val="en-GB"/>
        </w:rPr>
        <w:t xml:space="preserve">omic growth forecast </w:t>
      </w:r>
      <w:r>
        <w:rPr>
          <w:rFonts w:ascii="Verdana" w:hAnsi="Verdana" w:cs="Arial"/>
          <w:b/>
          <w:bCs/>
          <w:sz w:val="20"/>
          <w:szCs w:val="20"/>
          <w:lang w:val="en-GB"/>
        </w:rPr>
        <w:t xml:space="preserve">for most countries </w:t>
      </w:r>
      <w:r w:rsidR="00F65EDF">
        <w:rPr>
          <w:rFonts w:ascii="Verdana" w:hAnsi="Verdana" w:cs="Arial"/>
          <w:b/>
          <w:bCs/>
          <w:sz w:val="20"/>
          <w:szCs w:val="20"/>
          <w:lang w:val="en-GB"/>
        </w:rPr>
        <w:t>in the region, with the region growing faster than the world economy in 2024</w:t>
      </w:r>
    </w:p>
    <w:p w14:paraId="5DE38C5E" w14:textId="77777777" w:rsidR="006F45DB" w:rsidRPr="00310511" w:rsidRDefault="00EC2098" w:rsidP="004D67D8">
      <w:pPr>
        <w:spacing w:after="120" w:line="240" w:lineRule="auto"/>
        <w:jc w:val="both"/>
        <w:rPr>
          <w:rFonts w:ascii="Verdana" w:hAnsi="Verdana" w:cs="Arial"/>
          <w:i/>
          <w:sz w:val="20"/>
          <w:szCs w:val="20"/>
          <w:lang w:val="en-US"/>
        </w:rPr>
      </w:pPr>
      <w:r>
        <w:rPr>
          <w:rFonts w:ascii="Verdana" w:hAnsi="Verdana" w:cs="Arial"/>
          <w:i/>
          <w:iCs/>
          <w:sz w:val="20"/>
          <w:szCs w:val="20"/>
          <w:lang w:val="en-GB"/>
        </w:rPr>
        <w:t>The Eurasian Development Bank has released its Macroeconomic Outlook for the Bank’s six member states. In 2024, Armenia’s GDP is expected to grow by 7.5%, Belarus’s by 3.4%, Kazakhstan’s by 5%, Kyrgyzstan’s by 5.5%, Russia’s by 3.0% and Tajikistan’s by 8.0%.</w:t>
      </w:r>
    </w:p>
    <w:p w14:paraId="7D8CDAE5" w14:textId="031767C0" w:rsidR="006F45DB" w:rsidRPr="00310511" w:rsidRDefault="00EC2098" w:rsidP="004D67D8">
      <w:pPr>
        <w:spacing w:before="120" w:after="120" w:line="240" w:lineRule="auto"/>
        <w:jc w:val="both"/>
        <w:rPr>
          <w:rFonts w:ascii="Verdana" w:hAnsi="Verdana" w:cs="Arial"/>
          <w:sz w:val="20"/>
          <w:szCs w:val="20"/>
          <w:lang w:val="en-US"/>
        </w:rPr>
      </w:pPr>
      <w:r>
        <w:rPr>
          <w:rFonts w:ascii="Verdana" w:hAnsi="Verdana" w:cs="Arial"/>
          <w:b/>
          <w:bCs/>
          <w:sz w:val="20"/>
          <w:szCs w:val="20"/>
          <w:lang w:val="en-GB"/>
        </w:rPr>
        <w:t xml:space="preserve">Almaty, </w:t>
      </w:r>
      <w:r>
        <w:rPr>
          <w:rFonts w:ascii="Verdana" w:hAnsi="Verdana" w:cs="Arial"/>
          <w:b/>
          <w:bCs/>
          <w:color w:val="FF0000"/>
          <w:sz w:val="20"/>
          <w:szCs w:val="20"/>
          <w:lang w:val="en-GB"/>
        </w:rPr>
        <w:t>XX June</w:t>
      </w:r>
      <w:r>
        <w:rPr>
          <w:rFonts w:ascii="Verdana" w:hAnsi="Verdana" w:cs="Arial"/>
          <w:b/>
          <w:bCs/>
          <w:sz w:val="20"/>
          <w:szCs w:val="20"/>
          <w:lang w:val="en-GB"/>
        </w:rPr>
        <w:t xml:space="preserve"> 2024.</w:t>
      </w:r>
      <w:r>
        <w:rPr>
          <w:rFonts w:ascii="Verdana" w:hAnsi="Verdana" w:cs="Arial"/>
          <w:sz w:val="20"/>
          <w:szCs w:val="20"/>
          <w:lang w:val="en-GB"/>
        </w:rPr>
        <w:t xml:space="preserve"> The Eurasian Development Bank (EDB) presented an analysis of the preliminary economic developments i</w:t>
      </w:r>
      <w:r w:rsidR="00F65EDF">
        <w:rPr>
          <w:rFonts w:ascii="Verdana" w:hAnsi="Verdana" w:cs="Arial"/>
          <w:sz w:val="20"/>
          <w:szCs w:val="20"/>
          <w:lang w:val="en-GB"/>
        </w:rPr>
        <w:t>n its member countries for</w:t>
      </w:r>
      <w:r>
        <w:rPr>
          <w:rFonts w:ascii="Verdana" w:hAnsi="Verdana" w:cs="Arial"/>
          <w:sz w:val="20"/>
          <w:szCs w:val="20"/>
          <w:lang w:val="en-GB"/>
        </w:rPr>
        <w:t xml:space="preserve"> 2024 and provided forecasts for their key macroeconomic indicators through </w:t>
      </w:r>
      <w:r w:rsidR="00F65EDF">
        <w:rPr>
          <w:rFonts w:ascii="Verdana" w:hAnsi="Verdana" w:cs="Arial"/>
          <w:sz w:val="20"/>
          <w:szCs w:val="20"/>
          <w:lang w:val="en-GB"/>
        </w:rPr>
        <w:t>the end of 2024 and into 2025–</w:t>
      </w:r>
      <w:r>
        <w:rPr>
          <w:rFonts w:ascii="Verdana" w:hAnsi="Verdana" w:cs="Arial"/>
          <w:sz w:val="20"/>
          <w:szCs w:val="20"/>
          <w:lang w:val="en-GB"/>
        </w:rPr>
        <w:t>26.</w:t>
      </w:r>
    </w:p>
    <w:p w14:paraId="1FB680D9" w14:textId="77777777" w:rsidR="006F45DB" w:rsidRPr="00310511" w:rsidRDefault="00EC2098" w:rsidP="004D67D8">
      <w:pPr>
        <w:pStyle w:val="ArialRegular12pt"/>
        <w:spacing w:after="120" w:line="240" w:lineRule="auto"/>
        <w:rPr>
          <w:rFonts w:ascii="Verdana" w:hAnsi="Verdana"/>
          <w:sz w:val="20"/>
          <w:lang w:val="en-US"/>
        </w:rPr>
      </w:pPr>
      <w:r>
        <w:rPr>
          <w:rFonts w:ascii="Verdana" w:hAnsi="Verdana"/>
          <w:sz w:val="20"/>
          <w:lang w:val="en-GB"/>
        </w:rPr>
        <w:t>EDB analysts estimate that the global economy will continue to grow at around 3% in 2024, driven largely</w:t>
      </w:r>
      <w:r w:rsidRPr="000E0B34">
        <w:rPr>
          <w:rFonts w:ascii="Verdana" w:hAnsi="Verdana"/>
          <w:sz w:val="20"/>
          <w:lang w:val="en-US"/>
        </w:rPr>
        <w:t xml:space="preserve"> </w:t>
      </w:r>
      <w:r>
        <w:rPr>
          <w:rFonts w:ascii="Verdana" w:hAnsi="Verdana"/>
          <w:sz w:val="20"/>
          <w:lang w:val="en-US"/>
        </w:rPr>
        <w:t>by</w:t>
      </w:r>
      <w:r>
        <w:rPr>
          <w:rFonts w:ascii="Verdana" w:hAnsi="Verdana"/>
          <w:sz w:val="20"/>
          <w:lang w:val="en-GB"/>
        </w:rPr>
        <w:t xml:space="preserve"> emerging economies. The rate of decline in inflation in developed nations is slowing due to labour market imbalances caused by labour shortages and rising costs associated with global economic fragmentation. This is expected to result in a prolonged period of high interest rates in the US and the euro area, affecting their economic growth. The US GDP is projected to grow by 1.9% in 2024, down from 2.5% in 2023, due to lower consumer activity. Economic growth in the euro area is expected to remain sluggish, hovering around the previous year’s rate of around 0.5%. In contrast, China’s economy is anticipated to exceed its 5% growth target again, supported by government incentives. EDB analysts do not foresee a broad-based increase in commodity prices globally. </w:t>
      </w:r>
    </w:p>
    <w:p w14:paraId="3779CFD6" w14:textId="77777777" w:rsidR="006F45DB" w:rsidRPr="00310511" w:rsidRDefault="00EC2098" w:rsidP="004D67D8">
      <w:pPr>
        <w:pStyle w:val="ArialRegular12pt"/>
        <w:spacing w:after="120" w:line="240" w:lineRule="auto"/>
        <w:rPr>
          <w:rFonts w:ascii="Verdana" w:hAnsi="Verdana"/>
          <w:sz w:val="20"/>
          <w:lang w:val="en-US"/>
        </w:rPr>
      </w:pPr>
      <w:r>
        <w:rPr>
          <w:rFonts w:ascii="Verdana" w:hAnsi="Verdana"/>
          <w:sz w:val="20"/>
          <w:lang w:val="en-GB"/>
        </w:rPr>
        <w:t>For most EDB member countries, the outlook has been upgraded due to strong early-year performance and continued robust utilisation of domestic growth sources. Stimulative fiscal policies and structural transformations are fostering an environment conducive to investment and consumer activity. EDB analysts forecast a 3.4% growth in the region’s GDP by the end of 2024.</w:t>
      </w:r>
    </w:p>
    <w:p w14:paraId="572717C3" w14:textId="7398FF34" w:rsidR="006F45DB" w:rsidRPr="00310511" w:rsidRDefault="00F65EDF" w:rsidP="004D67D8">
      <w:pPr>
        <w:spacing w:after="0"/>
        <w:jc w:val="both"/>
        <w:rPr>
          <w:rFonts w:ascii="Verdana" w:hAnsi="Verdana" w:cs="Arial"/>
          <w:b/>
          <w:sz w:val="20"/>
          <w:szCs w:val="20"/>
          <w:lang w:val="en-US"/>
        </w:rPr>
      </w:pPr>
      <w:r>
        <w:rPr>
          <w:rFonts w:ascii="Verdana" w:hAnsi="Verdana" w:cs="Arial"/>
          <w:b/>
          <w:bCs/>
          <w:sz w:val="20"/>
          <w:szCs w:val="20"/>
          <w:lang w:val="en-GB"/>
        </w:rPr>
        <w:t>Key macroeconomic forecasts</w:t>
      </w:r>
      <w:r w:rsidR="00EC2098">
        <w:rPr>
          <w:rFonts w:ascii="Verdana" w:hAnsi="Verdana" w:cs="Arial"/>
          <w:b/>
          <w:bCs/>
          <w:sz w:val="20"/>
          <w:szCs w:val="20"/>
          <w:lang w:val="en-GB"/>
        </w:rPr>
        <w:t xml:space="preserve"> for the EDB member states in 2024</w:t>
      </w:r>
    </w:p>
    <w:p w14:paraId="11C77793" w14:textId="2A6E1829" w:rsidR="006F45DB" w:rsidRPr="009101B6" w:rsidRDefault="00F74EA3" w:rsidP="004D67D8">
      <w:pPr>
        <w:spacing w:after="0"/>
        <w:jc w:val="both"/>
        <w:rPr>
          <w:rFonts w:ascii="Verdana" w:hAnsi="Verdana" w:cs="Arial"/>
          <w:b/>
          <w:sz w:val="20"/>
          <w:szCs w:val="20"/>
          <w:lang w:val="en-US"/>
        </w:rPr>
      </w:pPr>
      <w:r>
        <w:rPr>
          <w:noProof/>
          <w:lang w:eastAsia="ru-RU"/>
        </w:rPr>
        <w:drawing>
          <wp:inline distT="0" distB="0" distL="0" distR="0" wp14:anchorId="5CA1A5B9" wp14:editId="3AC11248">
            <wp:extent cx="5936539" cy="28956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5483" cy="2899962"/>
                    </a:xfrm>
                    <a:prstGeom prst="rect">
                      <a:avLst/>
                    </a:prstGeom>
                  </pic:spPr>
                </pic:pic>
              </a:graphicData>
            </a:graphic>
          </wp:inline>
        </w:drawing>
      </w:r>
    </w:p>
    <w:p w14:paraId="2C42ECD0" w14:textId="77777777" w:rsidR="006F45DB" w:rsidRPr="00310511" w:rsidRDefault="00EC2098" w:rsidP="004D67D8">
      <w:pPr>
        <w:spacing w:after="240" w:line="240" w:lineRule="auto"/>
        <w:jc w:val="both"/>
        <w:rPr>
          <w:rFonts w:ascii="Verdana" w:hAnsi="Verdana" w:cs="Arial"/>
          <w:noProof/>
          <w:color w:val="FF0000"/>
          <w:sz w:val="20"/>
          <w:szCs w:val="20"/>
          <w:lang w:val="en-US"/>
        </w:rPr>
      </w:pPr>
      <w:r>
        <w:rPr>
          <w:rFonts w:ascii="Verdana" w:hAnsi="Verdana" w:cs="Arial"/>
          <w:b/>
          <w:bCs/>
          <w:i/>
          <w:iCs/>
          <w:sz w:val="20"/>
          <w:szCs w:val="20"/>
          <w:lang w:val="en-GB"/>
        </w:rPr>
        <w:t xml:space="preserve">Source: </w:t>
      </w:r>
      <w:r>
        <w:rPr>
          <w:rFonts w:ascii="Verdana" w:hAnsi="Verdana" w:cs="Arial"/>
          <w:i/>
          <w:iCs/>
          <w:sz w:val="20"/>
          <w:szCs w:val="20"/>
          <w:lang w:val="en-GB"/>
        </w:rPr>
        <w:t>EDB analysts’ calculations</w:t>
      </w:r>
    </w:p>
    <w:p w14:paraId="1E83BA10" w14:textId="77777777" w:rsidR="006F45DB" w:rsidRPr="00310511" w:rsidRDefault="00EC2098" w:rsidP="00C536EA">
      <w:pPr>
        <w:pStyle w:val="ArialRegular12pt"/>
        <w:spacing w:before="120" w:after="120" w:line="240" w:lineRule="auto"/>
        <w:rPr>
          <w:rFonts w:ascii="Verdana" w:hAnsi="Verdana"/>
          <w:sz w:val="20"/>
          <w:lang w:val="en-US"/>
        </w:rPr>
      </w:pPr>
      <w:r>
        <w:rPr>
          <w:rFonts w:ascii="Verdana" w:hAnsi="Verdana"/>
          <w:sz w:val="20"/>
          <w:lang w:val="en-GB"/>
        </w:rPr>
        <w:t>In Armenia, Kyrgyzstan and Tajikistan, high growth rates in early 2024, driven by strong domestic demand and increased exports of basic metals, have led to upgraded GDP growth projections for 2024: 7.5% for Armenia, 5.5% for Kyrgyzstan and 8.0% for Tajikistan.</w:t>
      </w:r>
    </w:p>
    <w:p w14:paraId="3E85AAC4" w14:textId="77777777" w:rsidR="006F45DB" w:rsidRPr="00310511" w:rsidRDefault="00EC2098" w:rsidP="004D67D8">
      <w:pPr>
        <w:pStyle w:val="ArialRegular12pt"/>
        <w:spacing w:before="120" w:after="120" w:line="240" w:lineRule="auto"/>
        <w:rPr>
          <w:rFonts w:ascii="Verdana" w:hAnsi="Verdana"/>
          <w:sz w:val="20"/>
          <w:lang w:val="en-US"/>
        </w:rPr>
      </w:pPr>
      <w:r>
        <w:rPr>
          <w:rFonts w:ascii="Verdana" w:hAnsi="Verdana"/>
          <w:sz w:val="20"/>
          <w:lang w:val="en-GB"/>
        </w:rPr>
        <w:t xml:space="preserve">Kazakhstan’s economy is expected to maintain a high GDP growth rate of around 5% in 2024. Government efforts to diversify the economy are anticipated to catalyse and sustain a steady GDP growth rate in the medium term. </w:t>
      </w:r>
    </w:p>
    <w:p w14:paraId="28F4E876" w14:textId="77777777" w:rsidR="006F45DB" w:rsidRPr="00310511" w:rsidRDefault="00EC2098" w:rsidP="004D67D8">
      <w:pPr>
        <w:pStyle w:val="ArialRegular12pt"/>
        <w:spacing w:before="120" w:after="120" w:line="240" w:lineRule="auto"/>
        <w:rPr>
          <w:rFonts w:ascii="Verdana" w:hAnsi="Verdana"/>
          <w:sz w:val="20"/>
          <w:lang w:val="en-US"/>
        </w:rPr>
      </w:pPr>
      <w:r>
        <w:rPr>
          <w:rFonts w:ascii="Verdana" w:hAnsi="Verdana"/>
          <w:sz w:val="20"/>
          <w:lang w:val="en-GB"/>
        </w:rPr>
        <w:t xml:space="preserve">Russia’s GDP growth forecast for 2024 has been improved to 3.0%. EDB analysts note that domestic demand has expanded further, driven by high household incomes and fiscal stimuli. However, consumer activity is expected to gradually decline over the forecast period due to tight monetary policy. </w:t>
      </w:r>
    </w:p>
    <w:p w14:paraId="5686C6BD" w14:textId="77777777" w:rsidR="006F45DB" w:rsidRPr="00310511" w:rsidRDefault="00EC2098" w:rsidP="004D67D8">
      <w:pPr>
        <w:pStyle w:val="ArialRegular12pt"/>
        <w:spacing w:before="120" w:after="120" w:line="240" w:lineRule="auto"/>
        <w:rPr>
          <w:rFonts w:ascii="Verdana" w:hAnsi="Verdana"/>
          <w:sz w:val="20"/>
          <w:lang w:val="en-US"/>
        </w:rPr>
      </w:pPr>
      <w:r>
        <w:rPr>
          <w:rFonts w:ascii="Verdana" w:hAnsi="Verdana"/>
          <w:sz w:val="20"/>
          <w:lang w:val="en-GB"/>
        </w:rPr>
        <w:lastRenderedPageBreak/>
        <w:t xml:space="preserve">Belarus’s GDP growth forecast for 2024 has been upgraded to 3.4%, supported by continued strong growth in demand from Russia and wage increases. </w:t>
      </w:r>
    </w:p>
    <w:p w14:paraId="0B8332A1" w14:textId="3B26E88C" w:rsidR="006F45DB" w:rsidRPr="00310511" w:rsidRDefault="00EC2098" w:rsidP="004D67D8">
      <w:pPr>
        <w:pStyle w:val="ArialRegular12pt"/>
        <w:spacing w:before="120" w:after="120" w:line="240" w:lineRule="auto"/>
        <w:rPr>
          <w:rFonts w:ascii="Verdana" w:hAnsi="Verdana"/>
          <w:sz w:val="20"/>
          <w:lang w:val="en-US"/>
        </w:rPr>
      </w:pPr>
      <w:r>
        <w:rPr>
          <w:rFonts w:ascii="Verdana" w:hAnsi="Verdana"/>
          <w:sz w:val="20"/>
          <w:lang w:val="en-GB"/>
        </w:rPr>
        <w:t>EDB researchers expect the inflationary trend across the Bank’s region to slow further, with the aggregate inflation rate decreasing to 5.8% by the end of 2024 from 7.</w:t>
      </w:r>
      <w:r w:rsidR="002E4E73" w:rsidRPr="0041485A">
        <w:rPr>
          <w:rFonts w:ascii="Verdana" w:hAnsi="Verdana"/>
          <w:sz w:val="20"/>
          <w:lang w:val="en-US"/>
        </w:rPr>
        <w:t>2</w:t>
      </w:r>
      <w:r>
        <w:rPr>
          <w:rFonts w:ascii="Verdana" w:hAnsi="Verdana"/>
          <w:sz w:val="20"/>
          <w:lang w:val="en-GB"/>
        </w:rPr>
        <w:t xml:space="preserve">% in 2023. Inflation remains heterogeneous across the region: Armenia continues to experience </w:t>
      </w:r>
      <w:r w:rsidR="00C1037C">
        <w:rPr>
          <w:rFonts w:ascii="Verdana" w:hAnsi="Verdana"/>
          <w:sz w:val="20"/>
          <w:lang w:val="en-US"/>
        </w:rPr>
        <w:t>low in</w:t>
      </w:r>
      <w:proofErr w:type="spellStart"/>
      <w:r>
        <w:rPr>
          <w:rFonts w:ascii="Verdana" w:hAnsi="Verdana"/>
          <w:sz w:val="20"/>
          <w:lang w:val="en-GB"/>
        </w:rPr>
        <w:t>flation</w:t>
      </w:r>
      <w:proofErr w:type="spellEnd"/>
      <w:r>
        <w:rPr>
          <w:rFonts w:ascii="Verdana" w:hAnsi="Verdana"/>
          <w:sz w:val="20"/>
          <w:lang w:val="en-GB"/>
        </w:rPr>
        <w:t xml:space="preserve">, while inflation in Kyrgyzstan and Tajikistan may drop below target levels. </w:t>
      </w:r>
    </w:p>
    <w:p w14:paraId="433A0887" w14:textId="4A63A31B" w:rsidR="006F45DB" w:rsidRPr="00310511" w:rsidRDefault="00EC2098" w:rsidP="004D67D8">
      <w:pPr>
        <w:pStyle w:val="ArialRegular12pt"/>
        <w:spacing w:before="120" w:after="120" w:line="240" w:lineRule="auto"/>
        <w:rPr>
          <w:rFonts w:ascii="Verdana" w:hAnsi="Verdana"/>
          <w:sz w:val="20"/>
          <w:lang w:val="en-US"/>
        </w:rPr>
      </w:pPr>
      <w:r>
        <w:rPr>
          <w:rFonts w:ascii="Verdana" w:hAnsi="Verdana"/>
          <w:sz w:val="20"/>
          <w:lang w:val="en-GB"/>
        </w:rPr>
        <w:t xml:space="preserve">Conversely, Russia and Kazakhstan continue to face increased inflationary pressures. Bank analysts project that inflation rates will gradually approach targets in 2024: 1.5% in Armenia, 6% in Belarus, 8.3% in Kazakhstan, </w:t>
      </w:r>
      <w:r w:rsidR="00572776" w:rsidRPr="0041485A">
        <w:rPr>
          <w:rFonts w:ascii="Verdana" w:hAnsi="Verdana"/>
          <w:sz w:val="20"/>
          <w:lang w:val="en-US"/>
        </w:rPr>
        <w:t>4</w:t>
      </w:r>
      <w:r>
        <w:rPr>
          <w:rFonts w:ascii="Verdana" w:hAnsi="Verdana"/>
          <w:sz w:val="20"/>
          <w:lang w:val="en-GB"/>
        </w:rPr>
        <w:t>.</w:t>
      </w:r>
      <w:r w:rsidR="00572776" w:rsidRPr="0041485A">
        <w:rPr>
          <w:rFonts w:ascii="Verdana" w:hAnsi="Verdana"/>
          <w:sz w:val="20"/>
          <w:lang w:val="en-US"/>
        </w:rPr>
        <w:t>3</w:t>
      </w:r>
      <w:r>
        <w:rPr>
          <w:rFonts w:ascii="Verdana" w:hAnsi="Verdana"/>
          <w:sz w:val="20"/>
          <w:lang w:val="en-GB"/>
        </w:rPr>
        <w:t>% in Kyrgyzstan, 5.8% in Russia and 4.1% in Tajikistan.</w:t>
      </w:r>
    </w:p>
    <w:p w14:paraId="24660C2B" w14:textId="77777777" w:rsidR="006F45DB" w:rsidRPr="00944AB5" w:rsidRDefault="00EC2098" w:rsidP="004D67D8">
      <w:pPr>
        <w:spacing w:after="120" w:line="240" w:lineRule="auto"/>
        <w:jc w:val="both"/>
        <w:rPr>
          <w:rFonts w:ascii="Verdana" w:hAnsi="Verdana"/>
          <w:sz w:val="20"/>
          <w:szCs w:val="20"/>
          <w:lang w:val="en-US"/>
        </w:rPr>
      </w:pPr>
      <w:r>
        <w:rPr>
          <w:rFonts w:ascii="Verdana" w:hAnsi="Verdana"/>
          <w:sz w:val="20"/>
          <w:szCs w:val="20"/>
          <w:lang w:val="en-GB"/>
        </w:rPr>
        <w:t>Despite declining inflation rates, persistent inflation risks in the EDB’s larger economies are expected to lead to the regulators’ cautious approach to monetary easing in 2024. EDB analysts anticipate that Kazakhstan’s base rate will remain above 13% by the end of 2024. The Bank of Russia is forecast to begin a cycle of rate cuts this year, with the inflation rate expected to decline to 15% per annum by year-end.</w:t>
      </w:r>
    </w:p>
    <w:p w14:paraId="2C555604" w14:textId="784912EC" w:rsidR="006F45DB" w:rsidRPr="00F65EDF" w:rsidRDefault="00EC2098" w:rsidP="00F65EDF">
      <w:pPr>
        <w:pStyle w:val="ArialRegular12pt"/>
        <w:spacing w:before="120" w:after="120" w:line="240" w:lineRule="auto"/>
        <w:rPr>
          <w:rFonts w:ascii="Verdana" w:hAnsi="Verdana"/>
          <w:b/>
          <w:color w:val="0032AF"/>
          <w:sz w:val="20"/>
          <w:lang w:val="en-US"/>
        </w:rPr>
      </w:pPr>
      <w:r>
        <w:rPr>
          <w:rFonts w:ascii="Verdana" w:hAnsi="Verdana"/>
          <w:b/>
          <w:bCs/>
          <w:color w:val="0032AF"/>
          <w:sz w:val="20"/>
          <w:lang w:val="en-GB"/>
        </w:rPr>
        <w:t>Key macroeconomic indicators of the EDB member states (baseline scenario)</w:t>
      </w:r>
      <w:r>
        <w:rPr>
          <w:rFonts w:ascii="Calibri" w:hAnsi="Calibri"/>
          <w:sz w:val="22"/>
          <w:szCs w:val="22"/>
          <w:lang w:val="en-GB"/>
        </w:rPr>
        <w:fldChar w:fldCharType="begin"/>
      </w:r>
      <w:r>
        <w:rPr>
          <w:lang w:val="en-GB"/>
        </w:rPr>
        <w:instrText xml:space="preserve"> LINK Excel.Sheet.12 "Книга2" "Лист1!R3C1:R35C6" \a \f 4 \h  \* MERGEFORMAT </w:instrText>
      </w:r>
      <w:r>
        <w:rPr>
          <w:rFonts w:ascii="Calibri" w:hAnsi="Calibri"/>
          <w:sz w:val="22"/>
          <w:szCs w:val="22"/>
          <w:lang w:val="en-GB"/>
        </w:rPr>
        <w:fldChar w:fldCharType="separate"/>
      </w:r>
    </w:p>
    <w:tbl>
      <w:tblPr>
        <w:tblW w:w="9220" w:type="dxa"/>
        <w:tblLook w:val="04A0" w:firstRow="1" w:lastRow="0" w:firstColumn="1" w:lastColumn="0" w:noHBand="0" w:noVBand="1"/>
      </w:tblPr>
      <w:tblGrid>
        <w:gridCol w:w="4420"/>
        <w:gridCol w:w="960"/>
        <w:gridCol w:w="960"/>
        <w:gridCol w:w="960"/>
        <w:gridCol w:w="960"/>
        <w:gridCol w:w="960"/>
      </w:tblGrid>
      <w:tr w:rsidR="009F2941" w14:paraId="6982B02A" w14:textId="77777777" w:rsidTr="00475785">
        <w:trPr>
          <w:trHeight w:val="290"/>
        </w:trPr>
        <w:tc>
          <w:tcPr>
            <w:tcW w:w="4420" w:type="dxa"/>
            <w:tcBorders>
              <w:top w:val="nil"/>
              <w:left w:val="nil"/>
              <w:bottom w:val="nil"/>
              <w:right w:val="nil"/>
            </w:tcBorders>
            <w:shd w:val="clear" w:color="000000" w:fill="0032AF"/>
            <w:vAlign w:val="center"/>
            <w:hideMark/>
          </w:tcPr>
          <w:p w14:paraId="60D1A574" w14:textId="77777777" w:rsidR="006F45DB" w:rsidRPr="00475785" w:rsidRDefault="00EC2098" w:rsidP="00475785">
            <w:pPr>
              <w:spacing w:after="0" w:line="240" w:lineRule="auto"/>
              <w:jc w:val="center"/>
              <w:rPr>
                <w:rFonts w:ascii="Verdana" w:eastAsia="Times New Roman" w:hAnsi="Verdana" w:cs="Calibri"/>
                <w:b/>
                <w:bCs/>
                <w:color w:val="FFFFFF"/>
                <w:sz w:val="20"/>
                <w:szCs w:val="20"/>
              </w:rPr>
            </w:pPr>
            <w:r>
              <w:rPr>
                <w:rFonts w:ascii="Verdana" w:eastAsia="Times New Roman" w:hAnsi="Verdana" w:cs="Calibri"/>
                <w:b/>
                <w:bCs/>
                <w:color w:val="FFFFFF"/>
                <w:sz w:val="20"/>
                <w:szCs w:val="20"/>
                <w:lang w:val="en-GB"/>
              </w:rPr>
              <w:t>Indicator</w:t>
            </w:r>
          </w:p>
        </w:tc>
        <w:tc>
          <w:tcPr>
            <w:tcW w:w="960" w:type="dxa"/>
            <w:tcBorders>
              <w:top w:val="nil"/>
              <w:left w:val="nil"/>
              <w:bottom w:val="nil"/>
              <w:right w:val="nil"/>
            </w:tcBorders>
            <w:shd w:val="clear" w:color="000000" w:fill="0032AF"/>
            <w:vAlign w:val="center"/>
            <w:hideMark/>
          </w:tcPr>
          <w:p w14:paraId="65C53059" w14:textId="77777777" w:rsidR="006F45DB" w:rsidRPr="00475785" w:rsidRDefault="00EC2098" w:rsidP="00475785">
            <w:pPr>
              <w:spacing w:after="0" w:line="240" w:lineRule="auto"/>
              <w:jc w:val="center"/>
              <w:rPr>
                <w:rFonts w:ascii="Verdana" w:eastAsia="Times New Roman" w:hAnsi="Verdana" w:cs="Calibri"/>
                <w:b/>
                <w:bCs/>
                <w:color w:val="FFFFFF"/>
                <w:sz w:val="20"/>
                <w:szCs w:val="20"/>
              </w:rPr>
            </w:pPr>
            <w:r>
              <w:rPr>
                <w:rFonts w:ascii="Verdana" w:eastAsia="Times New Roman" w:hAnsi="Verdana" w:cs="Calibri"/>
                <w:b/>
                <w:bCs/>
                <w:color w:val="FFFFFF"/>
                <w:sz w:val="20"/>
                <w:szCs w:val="20"/>
                <w:lang w:val="en-GB"/>
              </w:rPr>
              <w:t>2022</w:t>
            </w:r>
          </w:p>
        </w:tc>
        <w:tc>
          <w:tcPr>
            <w:tcW w:w="960" w:type="dxa"/>
            <w:tcBorders>
              <w:top w:val="nil"/>
              <w:left w:val="nil"/>
              <w:bottom w:val="nil"/>
              <w:right w:val="nil"/>
            </w:tcBorders>
            <w:shd w:val="clear" w:color="000000" w:fill="0032AF"/>
            <w:vAlign w:val="center"/>
            <w:hideMark/>
          </w:tcPr>
          <w:p w14:paraId="58DCC509" w14:textId="77777777" w:rsidR="006F45DB" w:rsidRPr="00475785" w:rsidRDefault="00EC2098" w:rsidP="00475785">
            <w:pPr>
              <w:spacing w:after="0" w:line="240" w:lineRule="auto"/>
              <w:jc w:val="center"/>
              <w:rPr>
                <w:rFonts w:ascii="Verdana" w:eastAsia="Times New Roman" w:hAnsi="Verdana" w:cs="Calibri"/>
                <w:b/>
                <w:bCs/>
                <w:color w:val="FFFFFF"/>
                <w:sz w:val="20"/>
                <w:szCs w:val="20"/>
              </w:rPr>
            </w:pPr>
            <w:r>
              <w:rPr>
                <w:rFonts w:ascii="Verdana" w:eastAsia="Times New Roman" w:hAnsi="Verdana" w:cs="Calibri"/>
                <w:b/>
                <w:bCs/>
                <w:color w:val="FFFFFF"/>
                <w:sz w:val="20"/>
                <w:szCs w:val="20"/>
                <w:lang w:val="en-GB"/>
              </w:rPr>
              <w:t>2023</w:t>
            </w:r>
          </w:p>
        </w:tc>
        <w:tc>
          <w:tcPr>
            <w:tcW w:w="960" w:type="dxa"/>
            <w:tcBorders>
              <w:top w:val="nil"/>
              <w:left w:val="nil"/>
              <w:bottom w:val="nil"/>
              <w:right w:val="nil"/>
            </w:tcBorders>
            <w:shd w:val="clear" w:color="000000" w:fill="0032AF"/>
            <w:vAlign w:val="center"/>
            <w:hideMark/>
          </w:tcPr>
          <w:p w14:paraId="287FCA08" w14:textId="77777777" w:rsidR="006F45DB" w:rsidRPr="00475785" w:rsidRDefault="00EC2098" w:rsidP="00475785">
            <w:pPr>
              <w:spacing w:after="0" w:line="240" w:lineRule="auto"/>
              <w:jc w:val="center"/>
              <w:rPr>
                <w:rFonts w:ascii="Verdana" w:eastAsia="Times New Roman" w:hAnsi="Verdana" w:cs="Calibri"/>
                <w:b/>
                <w:bCs/>
                <w:color w:val="FFFFFF"/>
                <w:sz w:val="20"/>
                <w:szCs w:val="20"/>
              </w:rPr>
            </w:pPr>
            <w:r>
              <w:rPr>
                <w:rFonts w:ascii="Verdana" w:eastAsia="Times New Roman" w:hAnsi="Verdana" w:cs="Calibri"/>
                <w:b/>
                <w:bCs/>
                <w:color w:val="FFFFFF"/>
                <w:sz w:val="20"/>
                <w:szCs w:val="20"/>
                <w:lang w:val="en-GB"/>
              </w:rPr>
              <w:t>2024F</w:t>
            </w:r>
          </w:p>
        </w:tc>
        <w:tc>
          <w:tcPr>
            <w:tcW w:w="960" w:type="dxa"/>
            <w:tcBorders>
              <w:top w:val="nil"/>
              <w:left w:val="nil"/>
              <w:bottom w:val="nil"/>
              <w:right w:val="nil"/>
            </w:tcBorders>
            <w:shd w:val="clear" w:color="000000" w:fill="0032AF"/>
            <w:vAlign w:val="center"/>
            <w:hideMark/>
          </w:tcPr>
          <w:p w14:paraId="49764DA0" w14:textId="77777777" w:rsidR="006F45DB" w:rsidRPr="00475785" w:rsidRDefault="00EC2098" w:rsidP="00475785">
            <w:pPr>
              <w:spacing w:after="0" w:line="240" w:lineRule="auto"/>
              <w:jc w:val="center"/>
              <w:rPr>
                <w:rFonts w:ascii="Verdana" w:eastAsia="Times New Roman" w:hAnsi="Verdana" w:cs="Calibri"/>
                <w:b/>
                <w:bCs/>
                <w:color w:val="FFFFFF"/>
                <w:sz w:val="20"/>
                <w:szCs w:val="20"/>
              </w:rPr>
            </w:pPr>
            <w:r>
              <w:rPr>
                <w:rFonts w:ascii="Verdana" w:eastAsia="Times New Roman" w:hAnsi="Verdana" w:cs="Calibri"/>
                <w:b/>
                <w:bCs/>
                <w:color w:val="FFFFFF"/>
                <w:sz w:val="20"/>
                <w:szCs w:val="20"/>
                <w:lang w:val="en-GB"/>
              </w:rPr>
              <w:t>2025F</w:t>
            </w:r>
          </w:p>
        </w:tc>
        <w:tc>
          <w:tcPr>
            <w:tcW w:w="960" w:type="dxa"/>
            <w:tcBorders>
              <w:top w:val="nil"/>
              <w:left w:val="nil"/>
              <w:bottom w:val="nil"/>
              <w:right w:val="nil"/>
            </w:tcBorders>
            <w:shd w:val="clear" w:color="000000" w:fill="0032AF"/>
            <w:vAlign w:val="center"/>
            <w:hideMark/>
          </w:tcPr>
          <w:p w14:paraId="5A8CE038" w14:textId="77777777" w:rsidR="006F45DB" w:rsidRPr="00475785" w:rsidRDefault="00EC2098" w:rsidP="00475785">
            <w:pPr>
              <w:spacing w:after="0" w:line="240" w:lineRule="auto"/>
              <w:jc w:val="center"/>
              <w:rPr>
                <w:rFonts w:ascii="Verdana" w:eastAsia="Times New Roman" w:hAnsi="Verdana" w:cs="Calibri"/>
                <w:b/>
                <w:bCs/>
                <w:color w:val="FFFFFF"/>
                <w:sz w:val="20"/>
                <w:szCs w:val="20"/>
              </w:rPr>
            </w:pPr>
            <w:r>
              <w:rPr>
                <w:rFonts w:ascii="Verdana" w:eastAsia="Times New Roman" w:hAnsi="Verdana" w:cs="Calibri"/>
                <w:b/>
                <w:bCs/>
                <w:color w:val="FFFFFF"/>
                <w:sz w:val="20"/>
                <w:szCs w:val="20"/>
                <w:lang w:val="en-GB"/>
              </w:rPr>
              <w:t>2026F</w:t>
            </w:r>
          </w:p>
        </w:tc>
      </w:tr>
      <w:tr w:rsidR="009F2941" w14:paraId="1D973B2F" w14:textId="77777777" w:rsidTr="00475785">
        <w:trPr>
          <w:trHeight w:val="290"/>
        </w:trPr>
        <w:tc>
          <w:tcPr>
            <w:tcW w:w="8260" w:type="dxa"/>
            <w:gridSpan w:val="5"/>
            <w:tcBorders>
              <w:top w:val="nil"/>
              <w:left w:val="nil"/>
              <w:bottom w:val="nil"/>
              <w:right w:val="nil"/>
            </w:tcBorders>
            <w:shd w:val="clear" w:color="000000" w:fill="CBCDE3"/>
            <w:vAlign w:val="center"/>
            <w:hideMark/>
          </w:tcPr>
          <w:p w14:paraId="55AD23B5" w14:textId="77777777" w:rsidR="006F45DB" w:rsidRPr="00475785" w:rsidRDefault="00EC2098" w:rsidP="00475785">
            <w:pPr>
              <w:spacing w:after="0" w:line="240" w:lineRule="auto"/>
              <w:jc w:val="center"/>
              <w:rPr>
                <w:rFonts w:ascii="Verdana" w:eastAsia="Times New Roman" w:hAnsi="Verdana" w:cs="Calibri"/>
                <w:b/>
                <w:bCs/>
                <w:color w:val="000000"/>
                <w:sz w:val="20"/>
                <w:szCs w:val="20"/>
              </w:rPr>
            </w:pPr>
            <w:r>
              <w:rPr>
                <w:rFonts w:ascii="Verdana" w:eastAsia="Times New Roman" w:hAnsi="Verdana" w:cs="Calibri"/>
                <w:b/>
                <w:bCs/>
                <w:color w:val="000000"/>
                <w:sz w:val="20"/>
                <w:szCs w:val="20"/>
                <w:lang w:val="en-GB"/>
              </w:rPr>
              <w:t>Armenia</w:t>
            </w:r>
          </w:p>
        </w:tc>
        <w:tc>
          <w:tcPr>
            <w:tcW w:w="960" w:type="dxa"/>
            <w:tcBorders>
              <w:top w:val="nil"/>
              <w:left w:val="nil"/>
              <w:bottom w:val="nil"/>
              <w:right w:val="nil"/>
            </w:tcBorders>
            <w:shd w:val="clear" w:color="000000" w:fill="CBCDE3"/>
            <w:vAlign w:val="center"/>
            <w:hideMark/>
          </w:tcPr>
          <w:p w14:paraId="6E3FB888" w14:textId="77777777" w:rsidR="006F45DB" w:rsidRPr="00475785" w:rsidRDefault="00EC2098" w:rsidP="00475785">
            <w:pPr>
              <w:spacing w:after="0" w:line="240" w:lineRule="auto"/>
              <w:jc w:val="center"/>
              <w:rPr>
                <w:rFonts w:ascii="Verdana" w:eastAsia="Times New Roman" w:hAnsi="Verdana" w:cs="Calibri"/>
                <w:b/>
                <w:bCs/>
                <w:color w:val="000000"/>
                <w:sz w:val="20"/>
                <w:szCs w:val="20"/>
              </w:rPr>
            </w:pPr>
            <w:r>
              <w:rPr>
                <w:rFonts w:ascii="Verdana" w:eastAsia="Times New Roman" w:hAnsi="Verdana" w:cs="Calibri"/>
                <w:b/>
                <w:bCs/>
                <w:color w:val="000000"/>
                <w:sz w:val="20"/>
                <w:szCs w:val="20"/>
                <w:lang w:val="en-GB"/>
              </w:rPr>
              <w:t> </w:t>
            </w:r>
          </w:p>
        </w:tc>
      </w:tr>
      <w:tr w:rsidR="009F2941" w14:paraId="64683A96" w14:textId="77777777" w:rsidTr="00475785">
        <w:trPr>
          <w:trHeight w:val="310"/>
        </w:trPr>
        <w:tc>
          <w:tcPr>
            <w:tcW w:w="4420" w:type="dxa"/>
            <w:tcBorders>
              <w:top w:val="nil"/>
              <w:left w:val="nil"/>
              <w:bottom w:val="nil"/>
              <w:right w:val="nil"/>
            </w:tcBorders>
            <w:shd w:val="clear" w:color="000000" w:fill="E7E8F2"/>
            <w:vAlign w:val="center"/>
            <w:hideMark/>
          </w:tcPr>
          <w:p w14:paraId="4DC644A1" w14:textId="77777777" w:rsidR="006F45DB" w:rsidRPr="00475785" w:rsidRDefault="00EC2098" w:rsidP="00475785">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lang w:val="en-GB"/>
              </w:rPr>
              <w:t>GDP in comparable prices</w:t>
            </w:r>
          </w:p>
        </w:tc>
        <w:tc>
          <w:tcPr>
            <w:tcW w:w="960" w:type="dxa"/>
            <w:tcBorders>
              <w:top w:val="nil"/>
              <w:left w:val="nil"/>
              <w:bottom w:val="nil"/>
              <w:right w:val="nil"/>
            </w:tcBorders>
            <w:shd w:val="clear" w:color="000000" w:fill="E7E8F2"/>
            <w:vAlign w:val="center"/>
            <w:hideMark/>
          </w:tcPr>
          <w:p w14:paraId="4A43A410"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12.6</w:t>
            </w:r>
          </w:p>
        </w:tc>
        <w:tc>
          <w:tcPr>
            <w:tcW w:w="960" w:type="dxa"/>
            <w:tcBorders>
              <w:top w:val="nil"/>
              <w:left w:val="nil"/>
              <w:bottom w:val="nil"/>
              <w:right w:val="nil"/>
            </w:tcBorders>
            <w:shd w:val="clear" w:color="000000" w:fill="E7E8F2"/>
            <w:vAlign w:val="center"/>
            <w:hideMark/>
          </w:tcPr>
          <w:p w14:paraId="1FF9CFE8"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8.7</w:t>
            </w:r>
          </w:p>
        </w:tc>
        <w:tc>
          <w:tcPr>
            <w:tcW w:w="960" w:type="dxa"/>
            <w:tcBorders>
              <w:top w:val="nil"/>
              <w:left w:val="nil"/>
              <w:bottom w:val="nil"/>
              <w:right w:val="nil"/>
            </w:tcBorders>
            <w:shd w:val="clear" w:color="000000" w:fill="E7E8F2"/>
            <w:vAlign w:val="center"/>
            <w:hideMark/>
          </w:tcPr>
          <w:p w14:paraId="4DA9C5CE"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7.5</w:t>
            </w:r>
          </w:p>
        </w:tc>
        <w:tc>
          <w:tcPr>
            <w:tcW w:w="960" w:type="dxa"/>
            <w:tcBorders>
              <w:top w:val="nil"/>
              <w:left w:val="nil"/>
              <w:bottom w:val="nil"/>
              <w:right w:val="nil"/>
            </w:tcBorders>
            <w:shd w:val="clear" w:color="000000" w:fill="E7E8F2"/>
            <w:vAlign w:val="center"/>
            <w:hideMark/>
          </w:tcPr>
          <w:p w14:paraId="05165777"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4.2</w:t>
            </w:r>
          </w:p>
        </w:tc>
        <w:tc>
          <w:tcPr>
            <w:tcW w:w="960" w:type="dxa"/>
            <w:tcBorders>
              <w:top w:val="nil"/>
              <w:left w:val="nil"/>
              <w:bottom w:val="nil"/>
              <w:right w:val="nil"/>
            </w:tcBorders>
            <w:shd w:val="clear" w:color="000000" w:fill="E7E8F2"/>
            <w:vAlign w:val="center"/>
            <w:hideMark/>
          </w:tcPr>
          <w:p w14:paraId="45262BB9"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4.9</w:t>
            </w:r>
          </w:p>
        </w:tc>
      </w:tr>
      <w:tr w:rsidR="009F2941" w14:paraId="0B2F6785" w14:textId="77777777" w:rsidTr="00475785">
        <w:trPr>
          <w:trHeight w:val="310"/>
        </w:trPr>
        <w:tc>
          <w:tcPr>
            <w:tcW w:w="4420" w:type="dxa"/>
            <w:tcBorders>
              <w:top w:val="nil"/>
              <w:left w:val="nil"/>
              <w:bottom w:val="nil"/>
              <w:right w:val="nil"/>
            </w:tcBorders>
            <w:shd w:val="clear" w:color="000000" w:fill="E7E8F2"/>
            <w:vAlign w:val="center"/>
            <w:hideMark/>
          </w:tcPr>
          <w:p w14:paraId="0D9C794B" w14:textId="77777777" w:rsidR="006F45DB" w:rsidRPr="00475785" w:rsidRDefault="00EC2098" w:rsidP="00475785">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lang w:val="en-GB"/>
              </w:rPr>
              <w:t xml:space="preserve">Inflation </w:t>
            </w:r>
            <w:r>
              <w:rPr>
                <w:rFonts w:ascii="Verdana" w:eastAsia="Times New Roman" w:hAnsi="Verdana" w:cs="Calibri"/>
                <w:i/>
                <w:iCs/>
                <w:color w:val="000000"/>
                <w:sz w:val="20"/>
                <w:szCs w:val="20"/>
                <w:lang w:val="en-GB"/>
              </w:rPr>
              <w:t>(year-end)</w:t>
            </w:r>
          </w:p>
        </w:tc>
        <w:tc>
          <w:tcPr>
            <w:tcW w:w="960" w:type="dxa"/>
            <w:tcBorders>
              <w:top w:val="nil"/>
              <w:left w:val="nil"/>
              <w:bottom w:val="nil"/>
              <w:right w:val="nil"/>
            </w:tcBorders>
            <w:shd w:val="clear" w:color="000000" w:fill="E7E8F2"/>
            <w:vAlign w:val="center"/>
            <w:hideMark/>
          </w:tcPr>
          <w:p w14:paraId="46E5DBD5"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8.6</w:t>
            </w:r>
          </w:p>
        </w:tc>
        <w:tc>
          <w:tcPr>
            <w:tcW w:w="960" w:type="dxa"/>
            <w:tcBorders>
              <w:top w:val="nil"/>
              <w:left w:val="nil"/>
              <w:bottom w:val="nil"/>
              <w:right w:val="nil"/>
            </w:tcBorders>
            <w:shd w:val="clear" w:color="000000" w:fill="E7E8F2"/>
            <w:vAlign w:val="center"/>
            <w:hideMark/>
          </w:tcPr>
          <w:p w14:paraId="7B2F4CF2"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-0.6</w:t>
            </w:r>
          </w:p>
        </w:tc>
        <w:tc>
          <w:tcPr>
            <w:tcW w:w="960" w:type="dxa"/>
            <w:tcBorders>
              <w:top w:val="nil"/>
              <w:left w:val="nil"/>
              <w:bottom w:val="nil"/>
              <w:right w:val="nil"/>
            </w:tcBorders>
            <w:shd w:val="clear" w:color="000000" w:fill="E7E8F2"/>
            <w:vAlign w:val="center"/>
            <w:hideMark/>
          </w:tcPr>
          <w:p w14:paraId="60A7E68F"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1.5</w:t>
            </w:r>
          </w:p>
        </w:tc>
        <w:tc>
          <w:tcPr>
            <w:tcW w:w="960" w:type="dxa"/>
            <w:tcBorders>
              <w:top w:val="nil"/>
              <w:left w:val="nil"/>
              <w:bottom w:val="nil"/>
              <w:right w:val="nil"/>
            </w:tcBorders>
            <w:shd w:val="clear" w:color="000000" w:fill="E7E8F2"/>
            <w:vAlign w:val="center"/>
            <w:hideMark/>
          </w:tcPr>
          <w:p w14:paraId="2444E586"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2.5</w:t>
            </w:r>
          </w:p>
        </w:tc>
        <w:tc>
          <w:tcPr>
            <w:tcW w:w="960" w:type="dxa"/>
            <w:tcBorders>
              <w:top w:val="nil"/>
              <w:left w:val="nil"/>
              <w:bottom w:val="nil"/>
              <w:right w:val="nil"/>
            </w:tcBorders>
            <w:shd w:val="clear" w:color="000000" w:fill="E7E8F2"/>
            <w:vAlign w:val="center"/>
            <w:hideMark/>
          </w:tcPr>
          <w:p w14:paraId="02261CE6"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2.0</w:t>
            </w:r>
          </w:p>
        </w:tc>
      </w:tr>
      <w:tr w:rsidR="009F2941" w14:paraId="687C84F8" w14:textId="77777777" w:rsidTr="00475785">
        <w:trPr>
          <w:trHeight w:val="310"/>
        </w:trPr>
        <w:tc>
          <w:tcPr>
            <w:tcW w:w="4420" w:type="dxa"/>
            <w:tcBorders>
              <w:top w:val="nil"/>
              <w:left w:val="nil"/>
              <w:bottom w:val="nil"/>
              <w:right w:val="nil"/>
            </w:tcBorders>
            <w:shd w:val="clear" w:color="000000" w:fill="E7E8F2"/>
            <w:vAlign w:val="center"/>
            <w:hideMark/>
          </w:tcPr>
          <w:p w14:paraId="34A30321" w14:textId="77777777" w:rsidR="006F45DB" w:rsidRPr="00475785" w:rsidRDefault="00EC2098" w:rsidP="00475785">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lang w:val="en-GB"/>
              </w:rPr>
              <w:t>Interbank rate (year’s average), %</w:t>
            </w:r>
          </w:p>
        </w:tc>
        <w:tc>
          <w:tcPr>
            <w:tcW w:w="960" w:type="dxa"/>
            <w:tcBorders>
              <w:top w:val="nil"/>
              <w:left w:val="nil"/>
              <w:bottom w:val="nil"/>
              <w:right w:val="nil"/>
            </w:tcBorders>
            <w:shd w:val="clear" w:color="000000" w:fill="E7E8F2"/>
            <w:vAlign w:val="center"/>
            <w:hideMark/>
          </w:tcPr>
          <w:p w14:paraId="6CBBE118"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9.0</w:t>
            </w:r>
          </w:p>
        </w:tc>
        <w:tc>
          <w:tcPr>
            <w:tcW w:w="960" w:type="dxa"/>
            <w:tcBorders>
              <w:top w:val="nil"/>
              <w:left w:val="nil"/>
              <w:bottom w:val="nil"/>
              <w:right w:val="nil"/>
            </w:tcBorders>
            <w:shd w:val="clear" w:color="000000" w:fill="E7E8F2"/>
            <w:vAlign w:val="center"/>
            <w:hideMark/>
          </w:tcPr>
          <w:p w14:paraId="7EB737AF"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10.0</w:t>
            </w:r>
          </w:p>
        </w:tc>
        <w:tc>
          <w:tcPr>
            <w:tcW w:w="960" w:type="dxa"/>
            <w:tcBorders>
              <w:top w:val="nil"/>
              <w:left w:val="nil"/>
              <w:bottom w:val="nil"/>
              <w:right w:val="nil"/>
            </w:tcBorders>
            <w:shd w:val="clear" w:color="000000" w:fill="E7E8F2"/>
            <w:vAlign w:val="center"/>
            <w:hideMark/>
          </w:tcPr>
          <w:p w14:paraId="55E034A0"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8.3</w:t>
            </w:r>
          </w:p>
        </w:tc>
        <w:tc>
          <w:tcPr>
            <w:tcW w:w="960" w:type="dxa"/>
            <w:tcBorders>
              <w:top w:val="nil"/>
              <w:left w:val="nil"/>
              <w:bottom w:val="nil"/>
              <w:right w:val="nil"/>
            </w:tcBorders>
            <w:shd w:val="clear" w:color="000000" w:fill="E7E8F2"/>
            <w:vAlign w:val="center"/>
            <w:hideMark/>
          </w:tcPr>
          <w:p w14:paraId="154FC84D"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6.7</w:t>
            </w:r>
          </w:p>
        </w:tc>
        <w:tc>
          <w:tcPr>
            <w:tcW w:w="960" w:type="dxa"/>
            <w:tcBorders>
              <w:top w:val="nil"/>
              <w:left w:val="nil"/>
              <w:bottom w:val="nil"/>
              <w:right w:val="nil"/>
            </w:tcBorders>
            <w:shd w:val="clear" w:color="000000" w:fill="E7E8F2"/>
            <w:vAlign w:val="center"/>
            <w:hideMark/>
          </w:tcPr>
          <w:p w14:paraId="30C3F436"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6.0</w:t>
            </w:r>
          </w:p>
        </w:tc>
      </w:tr>
      <w:tr w:rsidR="009F2941" w14:paraId="544EEFEB" w14:textId="77777777" w:rsidTr="00475785">
        <w:trPr>
          <w:trHeight w:val="310"/>
        </w:trPr>
        <w:tc>
          <w:tcPr>
            <w:tcW w:w="4420" w:type="dxa"/>
            <w:tcBorders>
              <w:top w:val="nil"/>
              <w:left w:val="nil"/>
              <w:bottom w:val="nil"/>
              <w:right w:val="nil"/>
            </w:tcBorders>
            <w:shd w:val="clear" w:color="000000" w:fill="E7E8F2"/>
            <w:vAlign w:val="center"/>
            <w:hideMark/>
          </w:tcPr>
          <w:p w14:paraId="0C0617A2" w14:textId="77777777" w:rsidR="006F45DB" w:rsidRPr="00310511" w:rsidRDefault="00EC2098" w:rsidP="00475785">
            <w:pPr>
              <w:spacing w:after="0" w:line="240" w:lineRule="auto"/>
              <w:rPr>
                <w:rFonts w:ascii="Verdana" w:eastAsia="Times New Roman" w:hAnsi="Verdana" w:cs="Calibri"/>
                <w:color w:val="000000"/>
                <w:sz w:val="20"/>
                <w:szCs w:val="20"/>
                <w:lang w:val="en-US"/>
              </w:rPr>
            </w:pPr>
            <w:r>
              <w:rPr>
                <w:rFonts w:ascii="Verdana" w:eastAsia="Times New Roman" w:hAnsi="Verdana" w:cs="Calibri"/>
                <w:color w:val="000000"/>
                <w:sz w:val="20"/>
                <w:szCs w:val="20"/>
                <w:lang w:val="en-GB"/>
              </w:rPr>
              <w:t xml:space="preserve">AMD/USD exchange rate </w:t>
            </w:r>
            <w:r>
              <w:rPr>
                <w:rFonts w:ascii="Verdana" w:eastAsia="Times New Roman" w:hAnsi="Verdana" w:cs="Calibri"/>
                <w:i/>
                <w:iCs/>
                <w:color w:val="000000"/>
                <w:sz w:val="20"/>
                <w:szCs w:val="20"/>
                <w:lang w:val="en-GB"/>
              </w:rPr>
              <w:t>(year’s average)</w:t>
            </w:r>
          </w:p>
        </w:tc>
        <w:tc>
          <w:tcPr>
            <w:tcW w:w="960" w:type="dxa"/>
            <w:tcBorders>
              <w:top w:val="nil"/>
              <w:left w:val="nil"/>
              <w:bottom w:val="nil"/>
              <w:right w:val="nil"/>
            </w:tcBorders>
            <w:shd w:val="clear" w:color="000000" w:fill="E7E8F2"/>
            <w:vAlign w:val="center"/>
            <w:hideMark/>
          </w:tcPr>
          <w:p w14:paraId="60C546CA"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436</w:t>
            </w:r>
          </w:p>
        </w:tc>
        <w:tc>
          <w:tcPr>
            <w:tcW w:w="960" w:type="dxa"/>
            <w:tcBorders>
              <w:top w:val="nil"/>
              <w:left w:val="nil"/>
              <w:bottom w:val="nil"/>
              <w:right w:val="nil"/>
            </w:tcBorders>
            <w:shd w:val="clear" w:color="000000" w:fill="E7E8F2"/>
            <w:vAlign w:val="center"/>
            <w:hideMark/>
          </w:tcPr>
          <w:p w14:paraId="0B39A248"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392</w:t>
            </w:r>
          </w:p>
        </w:tc>
        <w:tc>
          <w:tcPr>
            <w:tcW w:w="960" w:type="dxa"/>
            <w:tcBorders>
              <w:top w:val="nil"/>
              <w:left w:val="nil"/>
              <w:bottom w:val="nil"/>
              <w:right w:val="nil"/>
            </w:tcBorders>
            <w:shd w:val="clear" w:color="000000" w:fill="E7E8F2"/>
            <w:vAlign w:val="center"/>
            <w:hideMark/>
          </w:tcPr>
          <w:p w14:paraId="3D13510A"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396</w:t>
            </w:r>
          </w:p>
        </w:tc>
        <w:tc>
          <w:tcPr>
            <w:tcW w:w="960" w:type="dxa"/>
            <w:tcBorders>
              <w:top w:val="nil"/>
              <w:left w:val="nil"/>
              <w:bottom w:val="nil"/>
              <w:right w:val="nil"/>
            </w:tcBorders>
            <w:shd w:val="clear" w:color="000000" w:fill="E7E8F2"/>
            <w:vAlign w:val="center"/>
            <w:hideMark/>
          </w:tcPr>
          <w:p w14:paraId="2918BEE8"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398</w:t>
            </w:r>
          </w:p>
        </w:tc>
        <w:tc>
          <w:tcPr>
            <w:tcW w:w="960" w:type="dxa"/>
            <w:tcBorders>
              <w:top w:val="nil"/>
              <w:left w:val="nil"/>
              <w:bottom w:val="nil"/>
              <w:right w:val="nil"/>
            </w:tcBorders>
            <w:shd w:val="clear" w:color="000000" w:fill="E7E8F2"/>
            <w:vAlign w:val="center"/>
            <w:hideMark/>
          </w:tcPr>
          <w:p w14:paraId="35608EB1"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399</w:t>
            </w:r>
          </w:p>
        </w:tc>
      </w:tr>
      <w:tr w:rsidR="009F2941" w14:paraId="29F229A0" w14:textId="77777777" w:rsidTr="00475785">
        <w:trPr>
          <w:trHeight w:val="290"/>
        </w:trPr>
        <w:tc>
          <w:tcPr>
            <w:tcW w:w="8260" w:type="dxa"/>
            <w:gridSpan w:val="5"/>
            <w:tcBorders>
              <w:top w:val="nil"/>
              <w:left w:val="nil"/>
              <w:bottom w:val="nil"/>
              <w:right w:val="nil"/>
            </w:tcBorders>
            <w:shd w:val="clear" w:color="000000" w:fill="CBCDE3"/>
            <w:vAlign w:val="center"/>
            <w:hideMark/>
          </w:tcPr>
          <w:p w14:paraId="7356FF7B" w14:textId="77777777" w:rsidR="006F45DB" w:rsidRPr="00475785" w:rsidRDefault="00EC2098" w:rsidP="00475785">
            <w:pPr>
              <w:spacing w:after="0" w:line="240" w:lineRule="auto"/>
              <w:jc w:val="center"/>
              <w:rPr>
                <w:rFonts w:ascii="Verdana" w:eastAsia="Times New Roman" w:hAnsi="Verdana" w:cs="Calibri"/>
                <w:b/>
                <w:bCs/>
                <w:color w:val="000000"/>
                <w:sz w:val="20"/>
                <w:szCs w:val="20"/>
              </w:rPr>
            </w:pPr>
            <w:r>
              <w:rPr>
                <w:rFonts w:ascii="Verdana" w:eastAsia="Times New Roman" w:hAnsi="Verdana" w:cs="Calibri"/>
                <w:b/>
                <w:bCs/>
                <w:color w:val="000000"/>
                <w:sz w:val="20"/>
                <w:szCs w:val="20"/>
                <w:lang w:val="en-GB"/>
              </w:rPr>
              <w:t>Belarus</w:t>
            </w:r>
          </w:p>
        </w:tc>
        <w:tc>
          <w:tcPr>
            <w:tcW w:w="960" w:type="dxa"/>
            <w:tcBorders>
              <w:top w:val="nil"/>
              <w:left w:val="nil"/>
              <w:bottom w:val="nil"/>
              <w:right w:val="nil"/>
            </w:tcBorders>
            <w:shd w:val="clear" w:color="000000" w:fill="CBCDE3"/>
            <w:vAlign w:val="center"/>
            <w:hideMark/>
          </w:tcPr>
          <w:p w14:paraId="6B940E36" w14:textId="77777777" w:rsidR="006F45DB" w:rsidRPr="00475785" w:rsidRDefault="00EC2098" w:rsidP="00475785">
            <w:pPr>
              <w:spacing w:after="0" w:line="240" w:lineRule="auto"/>
              <w:jc w:val="center"/>
              <w:rPr>
                <w:rFonts w:ascii="Verdana" w:eastAsia="Times New Roman" w:hAnsi="Verdana" w:cs="Calibri"/>
                <w:b/>
                <w:bCs/>
                <w:color w:val="000000"/>
                <w:sz w:val="20"/>
                <w:szCs w:val="20"/>
              </w:rPr>
            </w:pPr>
            <w:r>
              <w:rPr>
                <w:rFonts w:ascii="Verdana" w:eastAsia="Times New Roman" w:hAnsi="Verdana" w:cs="Calibri"/>
                <w:b/>
                <w:bCs/>
                <w:color w:val="000000"/>
                <w:sz w:val="20"/>
                <w:szCs w:val="20"/>
                <w:lang w:val="en-GB"/>
              </w:rPr>
              <w:t> </w:t>
            </w:r>
          </w:p>
        </w:tc>
      </w:tr>
      <w:tr w:rsidR="009F2941" w14:paraId="2198AA18" w14:textId="77777777" w:rsidTr="00475785">
        <w:trPr>
          <w:trHeight w:val="310"/>
        </w:trPr>
        <w:tc>
          <w:tcPr>
            <w:tcW w:w="4420" w:type="dxa"/>
            <w:tcBorders>
              <w:top w:val="nil"/>
              <w:left w:val="nil"/>
              <w:bottom w:val="nil"/>
              <w:right w:val="nil"/>
            </w:tcBorders>
            <w:shd w:val="clear" w:color="000000" w:fill="E7E8F2"/>
            <w:vAlign w:val="center"/>
            <w:hideMark/>
          </w:tcPr>
          <w:p w14:paraId="4A33AA47" w14:textId="77777777" w:rsidR="006F45DB" w:rsidRPr="00475785" w:rsidRDefault="00EC2098" w:rsidP="005B4390">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lang w:val="en-GB"/>
              </w:rPr>
              <w:t>GDP in comparable prices</w:t>
            </w:r>
          </w:p>
        </w:tc>
        <w:tc>
          <w:tcPr>
            <w:tcW w:w="960" w:type="dxa"/>
            <w:tcBorders>
              <w:top w:val="nil"/>
              <w:left w:val="nil"/>
              <w:bottom w:val="nil"/>
              <w:right w:val="nil"/>
            </w:tcBorders>
            <w:shd w:val="clear" w:color="000000" w:fill="E7E8F2"/>
            <w:vAlign w:val="center"/>
            <w:hideMark/>
          </w:tcPr>
          <w:p w14:paraId="3B1846C0" w14:textId="77777777" w:rsidR="006F45DB" w:rsidRPr="00213497" w:rsidRDefault="00EC2098" w:rsidP="005B4390">
            <w:pPr>
              <w:spacing w:after="0" w:line="240" w:lineRule="auto"/>
              <w:jc w:val="center"/>
              <w:rPr>
                <w:rFonts w:ascii="Verdana" w:hAnsi="Verdana" w:cs="Arial"/>
                <w:sz w:val="20"/>
                <w:szCs w:val="20"/>
              </w:rPr>
            </w:pPr>
            <w:r>
              <w:rPr>
                <w:rFonts w:ascii="Verdana" w:hAnsi="Verdana" w:cs="Arial"/>
                <w:sz w:val="20"/>
                <w:szCs w:val="20"/>
                <w:lang w:val="en-GB"/>
              </w:rPr>
              <w:t>-4.7</w:t>
            </w:r>
          </w:p>
        </w:tc>
        <w:tc>
          <w:tcPr>
            <w:tcW w:w="960" w:type="dxa"/>
            <w:tcBorders>
              <w:top w:val="nil"/>
              <w:left w:val="nil"/>
              <w:bottom w:val="nil"/>
              <w:right w:val="nil"/>
            </w:tcBorders>
            <w:shd w:val="clear" w:color="000000" w:fill="E7E8F2"/>
            <w:vAlign w:val="center"/>
            <w:hideMark/>
          </w:tcPr>
          <w:p w14:paraId="2D5F0F3D" w14:textId="77777777" w:rsidR="006F45DB" w:rsidRPr="00213497" w:rsidRDefault="00EC2098" w:rsidP="005B4390">
            <w:pPr>
              <w:spacing w:after="0" w:line="240" w:lineRule="auto"/>
              <w:jc w:val="center"/>
              <w:rPr>
                <w:rFonts w:ascii="Verdana" w:hAnsi="Verdana" w:cs="Arial"/>
                <w:sz w:val="20"/>
                <w:szCs w:val="20"/>
              </w:rPr>
            </w:pPr>
            <w:r>
              <w:rPr>
                <w:rFonts w:ascii="Verdana" w:hAnsi="Verdana" w:cs="Arial"/>
                <w:sz w:val="20"/>
                <w:szCs w:val="20"/>
                <w:lang w:val="en-GB"/>
              </w:rPr>
              <w:t>3.9</w:t>
            </w:r>
          </w:p>
        </w:tc>
        <w:tc>
          <w:tcPr>
            <w:tcW w:w="960" w:type="dxa"/>
            <w:tcBorders>
              <w:top w:val="nil"/>
              <w:left w:val="nil"/>
              <w:bottom w:val="nil"/>
              <w:right w:val="nil"/>
            </w:tcBorders>
            <w:shd w:val="clear" w:color="000000" w:fill="E7E8F2"/>
            <w:vAlign w:val="center"/>
            <w:hideMark/>
          </w:tcPr>
          <w:p w14:paraId="32D868AF" w14:textId="77777777" w:rsidR="006F45DB" w:rsidRPr="00213497" w:rsidRDefault="00EC2098" w:rsidP="005B4390">
            <w:pPr>
              <w:spacing w:after="0" w:line="240" w:lineRule="auto"/>
              <w:jc w:val="center"/>
              <w:rPr>
                <w:rFonts w:ascii="Verdana" w:hAnsi="Verdana" w:cs="Arial"/>
                <w:sz w:val="20"/>
                <w:szCs w:val="20"/>
              </w:rPr>
            </w:pPr>
            <w:r>
              <w:rPr>
                <w:rFonts w:ascii="Verdana" w:hAnsi="Verdana" w:cs="Arial"/>
                <w:sz w:val="20"/>
                <w:szCs w:val="20"/>
                <w:lang w:val="en-GB"/>
              </w:rPr>
              <w:t>3.4</w:t>
            </w:r>
          </w:p>
        </w:tc>
        <w:tc>
          <w:tcPr>
            <w:tcW w:w="960" w:type="dxa"/>
            <w:tcBorders>
              <w:top w:val="nil"/>
              <w:left w:val="nil"/>
              <w:bottom w:val="nil"/>
              <w:right w:val="nil"/>
            </w:tcBorders>
            <w:shd w:val="clear" w:color="000000" w:fill="E7E8F2"/>
            <w:vAlign w:val="center"/>
            <w:hideMark/>
          </w:tcPr>
          <w:p w14:paraId="3334CD07" w14:textId="77777777" w:rsidR="006F45DB" w:rsidRPr="00213497" w:rsidRDefault="00EC2098" w:rsidP="005B4390">
            <w:pPr>
              <w:spacing w:after="0" w:line="240" w:lineRule="auto"/>
              <w:jc w:val="center"/>
              <w:rPr>
                <w:rFonts w:ascii="Verdana" w:hAnsi="Verdana" w:cs="Arial"/>
                <w:sz w:val="20"/>
                <w:szCs w:val="20"/>
              </w:rPr>
            </w:pPr>
            <w:r>
              <w:rPr>
                <w:rFonts w:ascii="Verdana" w:hAnsi="Verdana" w:cs="Arial"/>
                <w:sz w:val="20"/>
                <w:szCs w:val="20"/>
                <w:lang w:val="en-GB"/>
              </w:rPr>
              <w:t>1.1</w:t>
            </w:r>
          </w:p>
        </w:tc>
        <w:tc>
          <w:tcPr>
            <w:tcW w:w="960" w:type="dxa"/>
            <w:tcBorders>
              <w:top w:val="nil"/>
              <w:left w:val="nil"/>
              <w:bottom w:val="nil"/>
              <w:right w:val="nil"/>
            </w:tcBorders>
            <w:shd w:val="clear" w:color="000000" w:fill="E7E8F2"/>
            <w:vAlign w:val="center"/>
            <w:hideMark/>
          </w:tcPr>
          <w:p w14:paraId="0BAA5C04" w14:textId="77777777" w:rsidR="006F45DB" w:rsidRPr="00213497" w:rsidRDefault="00EC2098" w:rsidP="005B4390">
            <w:pPr>
              <w:spacing w:after="0" w:line="240" w:lineRule="auto"/>
              <w:jc w:val="center"/>
              <w:rPr>
                <w:rFonts w:ascii="Verdana" w:hAnsi="Verdana" w:cs="Arial"/>
                <w:sz w:val="20"/>
                <w:szCs w:val="20"/>
              </w:rPr>
            </w:pPr>
            <w:r>
              <w:rPr>
                <w:rFonts w:ascii="Verdana" w:hAnsi="Verdana" w:cs="Arial"/>
                <w:sz w:val="20"/>
                <w:szCs w:val="20"/>
                <w:lang w:val="en-GB"/>
              </w:rPr>
              <w:t>1.0</w:t>
            </w:r>
          </w:p>
        </w:tc>
      </w:tr>
      <w:tr w:rsidR="009F2941" w14:paraId="4A09E386" w14:textId="77777777" w:rsidTr="00475785">
        <w:trPr>
          <w:trHeight w:val="310"/>
        </w:trPr>
        <w:tc>
          <w:tcPr>
            <w:tcW w:w="4420" w:type="dxa"/>
            <w:tcBorders>
              <w:top w:val="nil"/>
              <w:left w:val="nil"/>
              <w:bottom w:val="nil"/>
              <w:right w:val="nil"/>
            </w:tcBorders>
            <w:shd w:val="clear" w:color="000000" w:fill="E7E8F2"/>
            <w:vAlign w:val="center"/>
            <w:hideMark/>
          </w:tcPr>
          <w:p w14:paraId="78C22DBC" w14:textId="77777777" w:rsidR="006F45DB" w:rsidRPr="00475785" w:rsidRDefault="00EC2098" w:rsidP="005B4390">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lang w:val="en-GB"/>
              </w:rPr>
              <w:t xml:space="preserve">Inflation </w:t>
            </w:r>
            <w:r>
              <w:rPr>
                <w:rFonts w:ascii="Verdana" w:eastAsia="Times New Roman" w:hAnsi="Verdana" w:cs="Calibri"/>
                <w:i/>
                <w:iCs/>
                <w:color w:val="000000"/>
                <w:sz w:val="20"/>
                <w:szCs w:val="20"/>
                <w:lang w:val="en-GB"/>
              </w:rPr>
              <w:t>(year-end)</w:t>
            </w:r>
          </w:p>
        </w:tc>
        <w:tc>
          <w:tcPr>
            <w:tcW w:w="960" w:type="dxa"/>
            <w:tcBorders>
              <w:top w:val="nil"/>
              <w:left w:val="nil"/>
              <w:bottom w:val="nil"/>
              <w:right w:val="nil"/>
            </w:tcBorders>
            <w:shd w:val="clear" w:color="000000" w:fill="E7E8F2"/>
            <w:vAlign w:val="center"/>
            <w:hideMark/>
          </w:tcPr>
          <w:p w14:paraId="4C618F64" w14:textId="77777777" w:rsidR="006F45DB" w:rsidRPr="00213497" w:rsidRDefault="00EC2098" w:rsidP="005B4390">
            <w:pPr>
              <w:spacing w:after="0" w:line="240" w:lineRule="auto"/>
              <w:jc w:val="center"/>
              <w:rPr>
                <w:rFonts w:ascii="Verdana" w:hAnsi="Verdana" w:cs="Arial"/>
                <w:color w:val="595959" w:themeColor="text1" w:themeTint="A6"/>
                <w:sz w:val="20"/>
                <w:szCs w:val="20"/>
              </w:rPr>
            </w:pPr>
            <w:r>
              <w:rPr>
                <w:rFonts w:ascii="Verdana" w:hAnsi="Verdana" w:cs="Arial"/>
                <w:sz w:val="20"/>
                <w:szCs w:val="20"/>
                <w:lang w:val="en-GB"/>
              </w:rPr>
              <w:t>12.8</w:t>
            </w:r>
          </w:p>
        </w:tc>
        <w:tc>
          <w:tcPr>
            <w:tcW w:w="960" w:type="dxa"/>
            <w:tcBorders>
              <w:top w:val="nil"/>
              <w:left w:val="nil"/>
              <w:bottom w:val="nil"/>
              <w:right w:val="nil"/>
            </w:tcBorders>
            <w:shd w:val="clear" w:color="000000" w:fill="E7E8F2"/>
            <w:vAlign w:val="center"/>
            <w:hideMark/>
          </w:tcPr>
          <w:p w14:paraId="55C6C02D" w14:textId="77777777" w:rsidR="006F45DB" w:rsidRPr="00213497" w:rsidRDefault="00EC2098" w:rsidP="005B4390">
            <w:pPr>
              <w:spacing w:after="0" w:line="240" w:lineRule="auto"/>
              <w:jc w:val="center"/>
              <w:rPr>
                <w:rFonts w:ascii="Verdana" w:hAnsi="Verdana" w:cs="Arial"/>
                <w:sz w:val="20"/>
                <w:szCs w:val="20"/>
              </w:rPr>
            </w:pPr>
            <w:r>
              <w:rPr>
                <w:rFonts w:ascii="Verdana" w:hAnsi="Verdana" w:cs="Arial"/>
                <w:sz w:val="20"/>
                <w:szCs w:val="20"/>
                <w:lang w:val="en-GB"/>
              </w:rPr>
              <w:t>4.9</w:t>
            </w:r>
          </w:p>
        </w:tc>
        <w:tc>
          <w:tcPr>
            <w:tcW w:w="960" w:type="dxa"/>
            <w:tcBorders>
              <w:top w:val="nil"/>
              <w:left w:val="nil"/>
              <w:bottom w:val="nil"/>
              <w:right w:val="nil"/>
            </w:tcBorders>
            <w:shd w:val="clear" w:color="000000" w:fill="E7E8F2"/>
            <w:vAlign w:val="center"/>
            <w:hideMark/>
          </w:tcPr>
          <w:p w14:paraId="44C757D0" w14:textId="77777777" w:rsidR="006F45DB" w:rsidRPr="00213497" w:rsidRDefault="00EC2098" w:rsidP="005B4390">
            <w:pPr>
              <w:spacing w:after="0" w:line="240" w:lineRule="auto"/>
              <w:jc w:val="center"/>
              <w:rPr>
                <w:rFonts w:ascii="Verdana" w:hAnsi="Verdana" w:cs="Arial"/>
                <w:sz w:val="20"/>
                <w:szCs w:val="20"/>
              </w:rPr>
            </w:pPr>
            <w:r>
              <w:rPr>
                <w:rFonts w:ascii="Verdana" w:hAnsi="Verdana" w:cs="Arial"/>
                <w:sz w:val="20"/>
                <w:szCs w:val="20"/>
                <w:lang w:val="en-GB"/>
              </w:rPr>
              <w:t>6.0</w:t>
            </w:r>
          </w:p>
        </w:tc>
        <w:tc>
          <w:tcPr>
            <w:tcW w:w="960" w:type="dxa"/>
            <w:tcBorders>
              <w:top w:val="nil"/>
              <w:left w:val="nil"/>
              <w:bottom w:val="nil"/>
              <w:right w:val="nil"/>
            </w:tcBorders>
            <w:shd w:val="clear" w:color="000000" w:fill="E7E8F2"/>
            <w:vAlign w:val="center"/>
            <w:hideMark/>
          </w:tcPr>
          <w:p w14:paraId="2E809BC2" w14:textId="77777777" w:rsidR="006F45DB" w:rsidRPr="00213497" w:rsidRDefault="00EC2098" w:rsidP="005B4390">
            <w:pPr>
              <w:spacing w:after="0" w:line="240" w:lineRule="auto"/>
              <w:jc w:val="center"/>
              <w:rPr>
                <w:rFonts w:ascii="Verdana" w:hAnsi="Verdana" w:cs="Arial"/>
                <w:sz w:val="20"/>
                <w:szCs w:val="20"/>
              </w:rPr>
            </w:pPr>
            <w:r>
              <w:rPr>
                <w:rFonts w:ascii="Verdana" w:hAnsi="Verdana" w:cs="Arial"/>
                <w:sz w:val="20"/>
                <w:szCs w:val="20"/>
                <w:lang w:val="en-GB"/>
              </w:rPr>
              <w:t>6.8</w:t>
            </w:r>
          </w:p>
        </w:tc>
        <w:tc>
          <w:tcPr>
            <w:tcW w:w="960" w:type="dxa"/>
            <w:tcBorders>
              <w:top w:val="nil"/>
              <w:left w:val="nil"/>
              <w:bottom w:val="nil"/>
              <w:right w:val="nil"/>
            </w:tcBorders>
            <w:shd w:val="clear" w:color="000000" w:fill="E7E8F2"/>
            <w:vAlign w:val="center"/>
            <w:hideMark/>
          </w:tcPr>
          <w:p w14:paraId="16E4291C" w14:textId="77777777" w:rsidR="006F45DB" w:rsidRPr="00213497" w:rsidRDefault="00EC2098" w:rsidP="005B4390">
            <w:pPr>
              <w:spacing w:after="0" w:line="240" w:lineRule="auto"/>
              <w:jc w:val="center"/>
              <w:rPr>
                <w:rFonts w:ascii="Verdana" w:hAnsi="Verdana" w:cs="Arial"/>
                <w:sz w:val="20"/>
                <w:szCs w:val="20"/>
              </w:rPr>
            </w:pPr>
            <w:r>
              <w:rPr>
                <w:rFonts w:ascii="Verdana" w:hAnsi="Verdana" w:cs="Arial"/>
                <w:sz w:val="20"/>
                <w:szCs w:val="20"/>
                <w:lang w:val="en-GB"/>
              </w:rPr>
              <w:t>7.7</w:t>
            </w:r>
          </w:p>
        </w:tc>
      </w:tr>
      <w:tr w:rsidR="009F2941" w14:paraId="3A3C20DD" w14:textId="77777777" w:rsidTr="00475785">
        <w:trPr>
          <w:trHeight w:val="610"/>
        </w:trPr>
        <w:tc>
          <w:tcPr>
            <w:tcW w:w="4420" w:type="dxa"/>
            <w:tcBorders>
              <w:top w:val="nil"/>
              <w:left w:val="nil"/>
              <w:bottom w:val="nil"/>
              <w:right w:val="nil"/>
            </w:tcBorders>
            <w:shd w:val="clear" w:color="000000" w:fill="E7E8F2"/>
            <w:vAlign w:val="center"/>
            <w:hideMark/>
          </w:tcPr>
          <w:p w14:paraId="786A690A" w14:textId="77777777" w:rsidR="006F45DB" w:rsidRPr="00475785" w:rsidRDefault="00EC2098" w:rsidP="005B4390">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lang w:val="en-GB"/>
              </w:rPr>
              <w:t>Refinancing rate (year’s average), %</w:t>
            </w:r>
          </w:p>
        </w:tc>
        <w:tc>
          <w:tcPr>
            <w:tcW w:w="960" w:type="dxa"/>
            <w:tcBorders>
              <w:top w:val="nil"/>
              <w:left w:val="nil"/>
              <w:bottom w:val="nil"/>
              <w:right w:val="nil"/>
            </w:tcBorders>
            <w:shd w:val="clear" w:color="000000" w:fill="E7E8F2"/>
            <w:vAlign w:val="center"/>
            <w:hideMark/>
          </w:tcPr>
          <w:p w14:paraId="254C8AE9" w14:textId="77777777" w:rsidR="006F45DB" w:rsidRPr="00213497" w:rsidRDefault="00EC2098" w:rsidP="005B4390">
            <w:pPr>
              <w:spacing w:after="0" w:line="240" w:lineRule="auto"/>
              <w:jc w:val="center"/>
              <w:rPr>
                <w:rFonts w:ascii="Verdana" w:hAnsi="Verdana" w:cs="Arial"/>
                <w:color w:val="595959" w:themeColor="text1" w:themeTint="A6"/>
                <w:sz w:val="20"/>
                <w:szCs w:val="20"/>
              </w:rPr>
            </w:pPr>
            <w:r>
              <w:rPr>
                <w:rFonts w:ascii="Verdana" w:hAnsi="Verdana" w:cs="Arial"/>
                <w:sz w:val="20"/>
                <w:szCs w:val="20"/>
                <w:lang w:val="en-GB"/>
              </w:rPr>
              <w:t>11.6</w:t>
            </w:r>
          </w:p>
        </w:tc>
        <w:tc>
          <w:tcPr>
            <w:tcW w:w="960" w:type="dxa"/>
            <w:tcBorders>
              <w:top w:val="nil"/>
              <w:left w:val="nil"/>
              <w:bottom w:val="nil"/>
              <w:right w:val="nil"/>
            </w:tcBorders>
            <w:shd w:val="clear" w:color="000000" w:fill="E7E8F2"/>
            <w:vAlign w:val="center"/>
            <w:hideMark/>
          </w:tcPr>
          <w:p w14:paraId="0479E43D" w14:textId="77777777" w:rsidR="006F45DB" w:rsidRPr="00213497" w:rsidRDefault="00EC2098" w:rsidP="005B4390">
            <w:pPr>
              <w:spacing w:after="0" w:line="240" w:lineRule="auto"/>
              <w:jc w:val="center"/>
              <w:rPr>
                <w:rFonts w:ascii="Verdana" w:hAnsi="Verdana" w:cs="Arial"/>
                <w:sz w:val="20"/>
                <w:szCs w:val="20"/>
              </w:rPr>
            </w:pPr>
            <w:r>
              <w:rPr>
                <w:rFonts w:ascii="Verdana" w:hAnsi="Verdana" w:cs="Arial"/>
                <w:sz w:val="20"/>
                <w:szCs w:val="20"/>
                <w:lang w:val="en-GB"/>
              </w:rPr>
              <w:t>10.1</w:t>
            </w:r>
          </w:p>
        </w:tc>
        <w:tc>
          <w:tcPr>
            <w:tcW w:w="960" w:type="dxa"/>
            <w:tcBorders>
              <w:top w:val="nil"/>
              <w:left w:val="nil"/>
              <w:bottom w:val="nil"/>
              <w:right w:val="nil"/>
            </w:tcBorders>
            <w:shd w:val="clear" w:color="000000" w:fill="E7E8F2"/>
            <w:vAlign w:val="center"/>
            <w:hideMark/>
          </w:tcPr>
          <w:p w14:paraId="5335B899" w14:textId="77777777" w:rsidR="006F45DB" w:rsidRPr="00213497" w:rsidRDefault="00EC2098" w:rsidP="005B4390">
            <w:pPr>
              <w:spacing w:after="0" w:line="240" w:lineRule="auto"/>
              <w:jc w:val="center"/>
              <w:rPr>
                <w:rFonts w:ascii="Verdana" w:hAnsi="Verdana" w:cs="Arial"/>
                <w:sz w:val="20"/>
                <w:szCs w:val="20"/>
              </w:rPr>
            </w:pPr>
            <w:r>
              <w:rPr>
                <w:rFonts w:ascii="Verdana" w:hAnsi="Verdana" w:cs="Arial"/>
                <w:sz w:val="20"/>
                <w:szCs w:val="20"/>
                <w:lang w:val="en-GB"/>
              </w:rPr>
              <w:t>9.5</w:t>
            </w:r>
          </w:p>
        </w:tc>
        <w:tc>
          <w:tcPr>
            <w:tcW w:w="960" w:type="dxa"/>
            <w:tcBorders>
              <w:top w:val="nil"/>
              <w:left w:val="nil"/>
              <w:bottom w:val="nil"/>
              <w:right w:val="nil"/>
            </w:tcBorders>
            <w:shd w:val="clear" w:color="000000" w:fill="E7E8F2"/>
            <w:vAlign w:val="center"/>
            <w:hideMark/>
          </w:tcPr>
          <w:p w14:paraId="4EF7A783" w14:textId="77777777" w:rsidR="006F45DB" w:rsidRPr="00213497" w:rsidRDefault="00EC2098" w:rsidP="005B4390">
            <w:pPr>
              <w:spacing w:after="0" w:line="240" w:lineRule="auto"/>
              <w:jc w:val="center"/>
              <w:rPr>
                <w:rFonts w:ascii="Verdana" w:hAnsi="Verdana" w:cs="Arial"/>
                <w:sz w:val="20"/>
                <w:szCs w:val="20"/>
              </w:rPr>
            </w:pPr>
            <w:r>
              <w:rPr>
                <w:rFonts w:ascii="Verdana" w:hAnsi="Verdana" w:cs="Arial"/>
                <w:sz w:val="20"/>
                <w:szCs w:val="20"/>
                <w:lang w:val="en-GB"/>
              </w:rPr>
              <w:t>9.5</w:t>
            </w:r>
          </w:p>
        </w:tc>
        <w:tc>
          <w:tcPr>
            <w:tcW w:w="960" w:type="dxa"/>
            <w:tcBorders>
              <w:top w:val="nil"/>
              <w:left w:val="nil"/>
              <w:bottom w:val="nil"/>
              <w:right w:val="nil"/>
            </w:tcBorders>
            <w:shd w:val="clear" w:color="000000" w:fill="E7E8F2"/>
            <w:vAlign w:val="center"/>
            <w:hideMark/>
          </w:tcPr>
          <w:p w14:paraId="0DE235F1" w14:textId="77777777" w:rsidR="006F45DB" w:rsidRPr="00213497" w:rsidRDefault="00EC2098" w:rsidP="005B4390">
            <w:pPr>
              <w:spacing w:after="0" w:line="240" w:lineRule="auto"/>
              <w:jc w:val="center"/>
              <w:rPr>
                <w:rFonts w:ascii="Verdana" w:hAnsi="Verdana" w:cs="Arial"/>
                <w:sz w:val="20"/>
                <w:szCs w:val="20"/>
              </w:rPr>
            </w:pPr>
            <w:r>
              <w:rPr>
                <w:rFonts w:ascii="Verdana" w:hAnsi="Verdana" w:cs="Arial"/>
                <w:sz w:val="20"/>
                <w:szCs w:val="20"/>
                <w:lang w:val="en-GB"/>
              </w:rPr>
              <w:t>9.5</w:t>
            </w:r>
          </w:p>
        </w:tc>
      </w:tr>
      <w:tr w:rsidR="009F2941" w14:paraId="5B0D8FD4" w14:textId="77777777" w:rsidTr="00475785">
        <w:trPr>
          <w:trHeight w:val="540"/>
        </w:trPr>
        <w:tc>
          <w:tcPr>
            <w:tcW w:w="4420" w:type="dxa"/>
            <w:tcBorders>
              <w:top w:val="nil"/>
              <w:left w:val="nil"/>
              <w:bottom w:val="nil"/>
              <w:right w:val="nil"/>
            </w:tcBorders>
            <w:shd w:val="clear" w:color="000000" w:fill="E7E8F2"/>
            <w:vAlign w:val="center"/>
            <w:hideMark/>
          </w:tcPr>
          <w:p w14:paraId="2FC58E9C" w14:textId="77777777" w:rsidR="006F45DB" w:rsidRPr="00310511" w:rsidRDefault="00EC2098" w:rsidP="005B4390">
            <w:pPr>
              <w:spacing w:after="0" w:line="240" w:lineRule="auto"/>
              <w:rPr>
                <w:rFonts w:ascii="Verdana" w:eastAsia="Times New Roman" w:hAnsi="Verdana" w:cs="Calibri"/>
                <w:color w:val="000000"/>
                <w:sz w:val="20"/>
                <w:szCs w:val="20"/>
                <w:lang w:val="en-US"/>
              </w:rPr>
            </w:pPr>
            <w:r>
              <w:rPr>
                <w:rFonts w:ascii="Verdana" w:eastAsia="Times New Roman" w:hAnsi="Verdana" w:cs="Calibri"/>
                <w:color w:val="000000"/>
                <w:sz w:val="20"/>
                <w:szCs w:val="20"/>
                <w:lang w:val="en-GB"/>
              </w:rPr>
              <w:t xml:space="preserve">BYN/USD exchange rate </w:t>
            </w:r>
            <w:r>
              <w:rPr>
                <w:rFonts w:ascii="Verdana" w:eastAsia="Times New Roman" w:hAnsi="Verdana" w:cs="Calibri"/>
                <w:i/>
                <w:iCs/>
                <w:color w:val="000000"/>
                <w:sz w:val="20"/>
                <w:szCs w:val="20"/>
                <w:lang w:val="en-GB"/>
              </w:rPr>
              <w:t>(year’s average)</w:t>
            </w:r>
          </w:p>
        </w:tc>
        <w:tc>
          <w:tcPr>
            <w:tcW w:w="960" w:type="dxa"/>
            <w:tcBorders>
              <w:top w:val="nil"/>
              <w:left w:val="nil"/>
              <w:bottom w:val="nil"/>
              <w:right w:val="nil"/>
            </w:tcBorders>
            <w:shd w:val="clear" w:color="000000" w:fill="E7E8F2"/>
            <w:vAlign w:val="center"/>
            <w:hideMark/>
          </w:tcPr>
          <w:p w14:paraId="48FCC5B9" w14:textId="77777777" w:rsidR="006F45DB" w:rsidRPr="00213497" w:rsidRDefault="00EC2098" w:rsidP="005B4390">
            <w:pPr>
              <w:spacing w:after="0" w:line="240" w:lineRule="auto"/>
              <w:jc w:val="center"/>
              <w:rPr>
                <w:rFonts w:ascii="Verdana" w:hAnsi="Verdana" w:cs="Arial"/>
                <w:color w:val="595959" w:themeColor="text1" w:themeTint="A6"/>
                <w:sz w:val="20"/>
                <w:szCs w:val="20"/>
              </w:rPr>
            </w:pPr>
            <w:r>
              <w:rPr>
                <w:rFonts w:ascii="Verdana" w:hAnsi="Verdana" w:cs="Arial"/>
                <w:sz w:val="20"/>
                <w:szCs w:val="20"/>
                <w:lang w:val="en-GB"/>
              </w:rPr>
              <w:t>2.62</w:t>
            </w:r>
          </w:p>
        </w:tc>
        <w:tc>
          <w:tcPr>
            <w:tcW w:w="960" w:type="dxa"/>
            <w:tcBorders>
              <w:top w:val="nil"/>
              <w:left w:val="nil"/>
              <w:bottom w:val="nil"/>
              <w:right w:val="nil"/>
            </w:tcBorders>
            <w:shd w:val="clear" w:color="000000" w:fill="E7E8F2"/>
            <w:vAlign w:val="center"/>
            <w:hideMark/>
          </w:tcPr>
          <w:p w14:paraId="243A15E3" w14:textId="77777777" w:rsidR="006F45DB" w:rsidRPr="00213497" w:rsidRDefault="00EC2098" w:rsidP="005B4390">
            <w:pPr>
              <w:spacing w:after="0" w:line="240" w:lineRule="auto"/>
              <w:jc w:val="center"/>
              <w:rPr>
                <w:rFonts w:ascii="Verdana" w:hAnsi="Verdana" w:cs="Arial"/>
                <w:sz w:val="20"/>
                <w:szCs w:val="20"/>
              </w:rPr>
            </w:pPr>
            <w:r>
              <w:rPr>
                <w:rFonts w:ascii="Verdana" w:hAnsi="Verdana" w:cs="Arial"/>
                <w:sz w:val="20"/>
                <w:szCs w:val="20"/>
                <w:lang w:val="en-GB"/>
              </w:rPr>
              <w:t>3.01</w:t>
            </w:r>
          </w:p>
        </w:tc>
        <w:tc>
          <w:tcPr>
            <w:tcW w:w="960" w:type="dxa"/>
            <w:tcBorders>
              <w:top w:val="nil"/>
              <w:left w:val="nil"/>
              <w:bottom w:val="nil"/>
              <w:right w:val="nil"/>
            </w:tcBorders>
            <w:shd w:val="clear" w:color="000000" w:fill="E7E8F2"/>
            <w:vAlign w:val="center"/>
            <w:hideMark/>
          </w:tcPr>
          <w:p w14:paraId="63666A79" w14:textId="77777777" w:rsidR="006F45DB" w:rsidRPr="00213497" w:rsidRDefault="00EC2098" w:rsidP="005B4390">
            <w:pPr>
              <w:spacing w:after="0" w:line="240" w:lineRule="auto"/>
              <w:jc w:val="center"/>
              <w:rPr>
                <w:rFonts w:ascii="Verdana" w:hAnsi="Verdana" w:cs="Arial"/>
                <w:sz w:val="20"/>
                <w:szCs w:val="20"/>
              </w:rPr>
            </w:pPr>
            <w:r>
              <w:rPr>
                <w:rFonts w:ascii="Verdana" w:hAnsi="Verdana" w:cs="Arial"/>
                <w:sz w:val="20"/>
                <w:szCs w:val="20"/>
                <w:lang w:val="en-GB"/>
              </w:rPr>
              <w:t>3.27</w:t>
            </w:r>
          </w:p>
        </w:tc>
        <w:tc>
          <w:tcPr>
            <w:tcW w:w="960" w:type="dxa"/>
            <w:tcBorders>
              <w:top w:val="nil"/>
              <w:left w:val="nil"/>
              <w:bottom w:val="nil"/>
              <w:right w:val="nil"/>
            </w:tcBorders>
            <w:shd w:val="clear" w:color="000000" w:fill="E7E8F2"/>
            <w:vAlign w:val="center"/>
            <w:hideMark/>
          </w:tcPr>
          <w:p w14:paraId="6B0F88F5" w14:textId="77777777" w:rsidR="006F45DB" w:rsidRPr="00213497" w:rsidRDefault="00EC2098" w:rsidP="005B4390">
            <w:pPr>
              <w:spacing w:after="0" w:line="240" w:lineRule="auto"/>
              <w:jc w:val="center"/>
              <w:rPr>
                <w:rFonts w:ascii="Verdana" w:hAnsi="Verdana" w:cs="Arial"/>
                <w:sz w:val="20"/>
                <w:szCs w:val="20"/>
              </w:rPr>
            </w:pPr>
            <w:r>
              <w:rPr>
                <w:rFonts w:ascii="Verdana" w:hAnsi="Verdana" w:cs="Arial"/>
                <w:sz w:val="20"/>
                <w:szCs w:val="20"/>
                <w:lang w:val="en-GB"/>
              </w:rPr>
              <w:t>3.43</w:t>
            </w:r>
          </w:p>
        </w:tc>
        <w:tc>
          <w:tcPr>
            <w:tcW w:w="960" w:type="dxa"/>
            <w:tcBorders>
              <w:top w:val="nil"/>
              <w:left w:val="nil"/>
              <w:bottom w:val="nil"/>
              <w:right w:val="nil"/>
            </w:tcBorders>
            <w:shd w:val="clear" w:color="000000" w:fill="E7E8F2"/>
            <w:vAlign w:val="center"/>
            <w:hideMark/>
          </w:tcPr>
          <w:p w14:paraId="4E061983" w14:textId="77777777" w:rsidR="006F45DB" w:rsidRPr="00213497" w:rsidRDefault="00EC2098" w:rsidP="005B4390">
            <w:pPr>
              <w:spacing w:after="0" w:line="240" w:lineRule="auto"/>
              <w:jc w:val="center"/>
              <w:rPr>
                <w:rFonts w:ascii="Verdana" w:hAnsi="Verdana" w:cs="Arial"/>
                <w:sz w:val="20"/>
                <w:szCs w:val="20"/>
              </w:rPr>
            </w:pPr>
            <w:r>
              <w:rPr>
                <w:rFonts w:ascii="Verdana" w:hAnsi="Verdana" w:cs="Arial"/>
                <w:sz w:val="20"/>
                <w:szCs w:val="20"/>
                <w:lang w:val="en-GB"/>
              </w:rPr>
              <w:t>3.58</w:t>
            </w:r>
          </w:p>
        </w:tc>
      </w:tr>
      <w:tr w:rsidR="009F2941" w14:paraId="4E8E7C20" w14:textId="77777777" w:rsidTr="00475785">
        <w:trPr>
          <w:trHeight w:val="300"/>
        </w:trPr>
        <w:tc>
          <w:tcPr>
            <w:tcW w:w="8260" w:type="dxa"/>
            <w:gridSpan w:val="5"/>
            <w:tcBorders>
              <w:top w:val="nil"/>
              <w:left w:val="nil"/>
              <w:bottom w:val="nil"/>
              <w:right w:val="nil"/>
            </w:tcBorders>
            <w:shd w:val="clear" w:color="000000" w:fill="CBCDE3"/>
            <w:vAlign w:val="center"/>
            <w:hideMark/>
          </w:tcPr>
          <w:p w14:paraId="32539EAB" w14:textId="77777777" w:rsidR="006F45DB" w:rsidRPr="00475785" w:rsidRDefault="00EC2098" w:rsidP="00475785">
            <w:pPr>
              <w:spacing w:after="0" w:line="240" w:lineRule="auto"/>
              <w:jc w:val="center"/>
              <w:rPr>
                <w:rFonts w:ascii="Verdana" w:eastAsia="Times New Roman" w:hAnsi="Verdana" w:cs="Calibri"/>
                <w:b/>
                <w:bCs/>
                <w:color w:val="000000"/>
                <w:sz w:val="20"/>
                <w:szCs w:val="20"/>
              </w:rPr>
            </w:pPr>
            <w:r>
              <w:rPr>
                <w:rFonts w:ascii="Verdana" w:eastAsia="Times New Roman" w:hAnsi="Verdana" w:cs="Calibri"/>
                <w:b/>
                <w:bCs/>
                <w:color w:val="000000"/>
                <w:sz w:val="20"/>
                <w:szCs w:val="20"/>
                <w:lang w:val="en-GB"/>
              </w:rPr>
              <w:t>Kazakhstan</w:t>
            </w:r>
          </w:p>
        </w:tc>
        <w:tc>
          <w:tcPr>
            <w:tcW w:w="960" w:type="dxa"/>
            <w:tcBorders>
              <w:top w:val="nil"/>
              <w:left w:val="nil"/>
              <w:bottom w:val="nil"/>
              <w:right w:val="nil"/>
            </w:tcBorders>
            <w:shd w:val="clear" w:color="000000" w:fill="CBCDE3"/>
            <w:vAlign w:val="center"/>
            <w:hideMark/>
          </w:tcPr>
          <w:p w14:paraId="4CFADA1E" w14:textId="77777777" w:rsidR="006F45DB" w:rsidRPr="00475785" w:rsidRDefault="00EC2098" w:rsidP="00475785">
            <w:pPr>
              <w:spacing w:after="0" w:line="240" w:lineRule="auto"/>
              <w:jc w:val="center"/>
              <w:rPr>
                <w:rFonts w:ascii="Verdana" w:eastAsia="Times New Roman" w:hAnsi="Verdana" w:cs="Calibri"/>
                <w:b/>
                <w:bCs/>
                <w:color w:val="000000"/>
                <w:sz w:val="20"/>
                <w:szCs w:val="20"/>
              </w:rPr>
            </w:pPr>
            <w:r>
              <w:rPr>
                <w:rFonts w:ascii="Verdana" w:eastAsia="Times New Roman" w:hAnsi="Verdana" w:cs="Calibri"/>
                <w:b/>
                <w:bCs/>
                <w:color w:val="000000"/>
                <w:sz w:val="20"/>
                <w:szCs w:val="20"/>
                <w:lang w:val="en-GB"/>
              </w:rPr>
              <w:t> </w:t>
            </w:r>
          </w:p>
        </w:tc>
      </w:tr>
      <w:tr w:rsidR="009F2941" w14:paraId="3096C3DF" w14:textId="77777777" w:rsidTr="00475785">
        <w:trPr>
          <w:trHeight w:val="320"/>
        </w:trPr>
        <w:tc>
          <w:tcPr>
            <w:tcW w:w="4420" w:type="dxa"/>
            <w:tcBorders>
              <w:top w:val="nil"/>
              <w:left w:val="nil"/>
              <w:bottom w:val="nil"/>
              <w:right w:val="nil"/>
            </w:tcBorders>
            <w:shd w:val="clear" w:color="000000" w:fill="E7E8F2"/>
            <w:vAlign w:val="center"/>
            <w:hideMark/>
          </w:tcPr>
          <w:p w14:paraId="4B3CBF8D" w14:textId="77777777" w:rsidR="006F45DB" w:rsidRPr="00475785" w:rsidRDefault="00EC2098" w:rsidP="00475785">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lang w:val="en-GB"/>
              </w:rPr>
              <w:t>GDP in comparable prices</w:t>
            </w:r>
          </w:p>
        </w:tc>
        <w:tc>
          <w:tcPr>
            <w:tcW w:w="960" w:type="dxa"/>
            <w:tcBorders>
              <w:top w:val="nil"/>
              <w:left w:val="nil"/>
              <w:bottom w:val="nil"/>
              <w:right w:val="nil"/>
            </w:tcBorders>
            <w:shd w:val="clear" w:color="000000" w:fill="E7E8F2"/>
            <w:vAlign w:val="center"/>
            <w:hideMark/>
          </w:tcPr>
          <w:p w14:paraId="748D5B96"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3.2</w:t>
            </w:r>
          </w:p>
        </w:tc>
        <w:tc>
          <w:tcPr>
            <w:tcW w:w="960" w:type="dxa"/>
            <w:tcBorders>
              <w:top w:val="nil"/>
              <w:left w:val="nil"/>
              <w:bottom w:val="nil"/>
              <w:right w:val="nil"/>
            </w:tcBorders>
            <w:shd w:val="clear" w:color="000000" w:fill="E7E8F2"/>
            <w:vAlign w:val="center"/>
            <w:hideMark/>
          </w:tcPr>
          <w:p w14:paraId="6DFF81C0"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5.1</w:t>
            </w:r>
          </w:p>
        </w:tc>
        <w:tc>
          <w:tcPr>
            <w:tcW w:w="960" w:type="dxa"/>
            <w:tcBorders>
              <w:top w:val="nil"/>
              <w:left w:val="nil"/>
              <w:bottom w:val="nil"/>
              <w:right w:val="nil"/>
            </w:tcBorders>
            <w:shd w:val="clear" w:color="000000" w:fill="E7E8F2"/>
            <w:vAlign w:val="center"/>
            <w:hideMark/>
          </w:tcPr>
          <w:p w14:paraId="7E21911E"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5.0</w:t>
            </w:r>
          </w:p>
        </w:tc>
        <w:tc>
          <w:tcPr>
            <w:tcW w:w="960" w:type="dxa"/>
            <w:tcBorders>
              <w:top w:val="nil"/>
              <w:left w:val="nil"/>
              <w:bottom w:val="nil"/>
              <w:right w:val="nil"/>
            </w:tcBorders>
            <w:shd w:val="clear" w:color="000000" w:fill="E7E8F2"/>
            <w:vAlign w:val="center"/>
            <w:hideMark/>
          </w:tcPr>
          <w:p w14:paraId="68C91B2A" w14:textId="6B7529D5" w:rsidR="006F45DB" w:rsidRPr="00475785" w:rsidRDefault="00EC2098" w:rsidP="00572776">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5.</w:t>
            </w:r>
            <w:r w:rsidR="00572776">
              <w:rPr>
                <w:rFonts w:ascii="Verdana" w:eastAsia="Times New Roman" w:hAnsi="Verdana" w:cs="Calibri"/>
                <w:color w:val="000000"/>
                <w:sz w:val="20"/>
                <w:szCs w:val="20"/>
              </w:rPr>
              <w:t>5</w:t>
            </w:r>
          </w:p>
        </w:tc>
        <w:tc>
          <w:tcPr>
            <w:tcW w:w="960" w:type="dxa"/>
            <w:tcBorders>
              <w:top w:val="nil"/>
              <w:left w:val="nil"/>
              <w:bottom w:val="nil"/>
              <w:right w:val="nil"/>
            </w:tcBorders>
            <w:shd w:val="clear" w:color="000000" w:fill="E7E8F2"/>
            <w:vAlign w:val="center"/>
            <w:hideMark/>
          </w:tcPr>
          <w:p w14:paraId="0624106C" w14:textId="08D2C738" w:rsidR="006F45DB" w:rsidRPr="00475785" w:rsidRDefault="00EC2098" w:rsidP="00572776">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5.</w:t>
            </w:r>
            <w:r w:rsidR="00572776">
              <w:rPr>
                <w:rFonts w:ascii="Verdana" w:eastAsia="Times New Roman" w:hAnsi="Verdana" w:cs="Calibri"/>
                <w:color w:val="000000"/>
                <w:sz w:val="20"/>
                <w:szCs w:val="20"/>
              </w:rPr>
              <w:t>5</w:t>
            </w:r>
          </w:p>
        </w:tc>
      </w:tr>
      <w:tr w:rsidR="009F2941" w14:paraId="7D78AFDF" w14:textId="77777777" w:rsidTr="00475785">
        <w:trPr>
          <w:trHeight w:val="320"/>
        </w:trPr>
        <w:tc>
          <w:tcPr>
            <w:tcW w:w="4420" w:type="dxa"/>
            <w:tcBorders>
              <w:top w:val="nil"/>
              <w:left w:val="nil"/>
              <w:bottom w:val="nil"/>
              <w:right w:val="nil"/>
            </w:tcBorders>
            <w:shd w:val="clear" w:color="000000" w:fill="E7E8F2"/>
            <w:vAlign w:val="center"/>
            <w:hideMark/>
          </w:tcPr>
          <w:p w14:paraId="22E5042D" w14:textId="77777777" w:rsidR="006F45DB" w:rsidRPr="00475785" w:rsidRDefault="00EC2098" w:rsidP="00475785">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lang w:val="en-GB"/>
              </w:rPr>
              <w:t xml:space="preserve">Inflation </w:t>
            </w:r>
            <w:r>
              <w:rPr>
                <w:rFonts w:ascii="Verdana" w:eastAsia="Times New Roman" w:hAnsi="Verdana" w:cs="Calibri"/>
                <w:i/>
                <w:iCs/>
                <w:color w:val="000000"/>
                <w:sz w:val="20"/>
                <w:szCs w:val="20"/>
                <w:lang w:val="en-GB"/>
              </w:rPr>
              <w:t>(year-end)</w:t>
            </w:r>
          </w:p>
        </w:tc>
        <w:tc>
          <w:tcPr>
            <w:tcW w:w="960" w:type="dxa"/>
            <w:tcBorders>
              <w:top w:val="nil"/>
              <w:left w:val="nil"/>
              <w:bottom w:val="nil"/>
              <w:right w:val="nil"/>
            </w:tcBorders>
            <w:shd w:val="clear" w:color="000000" w:fill="E7E8F2"/>
            <w:vAlign w:val="center"/>
            <w:hideMark/>
          </w:tcPr>
          <w:p w14:paraId="46DDF4BC"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20.3</w:t>
            </w:r>
          </w:p>
        </w:tc>
        <w:tc>
          <w:tcPr>
            <w:tcW w:w="960" w:type="dxa"/>
            <w:tcBorders>
              <w:top w:val="nil"/>
              <w:left w:val="nil"/>
              <w:bottom w:val="nil"/>
              <w:right w:val="nil"/>
            </w:tcBorders>
            <w:shd w:val="clear" w:color="000000" w:fill="E7E8F2"/>
            <w:vAlign w:val="center"/>
            <w:hideMark/>
          </w:tcPr>
          <w:p w14:paraId="4C02A797"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9.8</w:t>
            </w:r>
          </w:p>
        </w:tc>
        <w:tc>
          <w:tcPr>
            <w:tcW w:w="960" w:type="dxa"/>
            <w:tcBorders>
              <w:top w:val="nil"/>
              <w:left w:val="nil"/>
              <w:bottom w:val="nil"/>
              <w:right w:val="nil"/>
            </w:tcBorders>
            <w:shd w:val="clear" w:color="000000" w:fill="E7E8F2"/>
            <w:vAlign w:val="center"/>
            <w:hideMark/>
          </w:tcPr>
          <w:p w14:paraId="1CE416C9" w14:textId="77777777" w:rsidR="006F45DB" w:rsidRPr="00395A42" w:rsidRDefault="00EC2098" w:rsidP="00395A42">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8.3</w:t>
            </w:r>
          </w:p>
        </w:tc>
        <w:tc>
          <w:tcPr>
            <w:tcW w:w="960" w:type="dxa"/>
            <w:tcBorders>
              <w:top w:val="nil"/>
              <w:left w:val="nil"/>
              <w:bottom w:val="nil"/>
              <w:right w:val="nil"/>
            </w:tcBorders>
            <w:shd w:val="clear" w:color="000000" w:fill="E7E8F2"/>
            <w:vAlign w:val="center"/>
            <w:hideMark/>
          </w:tcPr>
          <w:p w14:paraId="754AE912" w14:textId="77777777" w:rsidR="006F45DB" w:rsidRPr="00395A42" w:rsidRDefault="00EC2098" w:rsidP="00395A42">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6.3</w:t>
            </w:r>
          </w:p>
        </w:tc>
        <w:tc>
          <w:tcPr>
            <w:tcW w:w="960" w:type="dxa"/>
            <w:tcBorders>
              <w:top w:val="nil"/>
              <w:left w:val="nil"/>
              <w:bottom w:val="nil"/>
              <w:right w:val="nil"/>
            </w:tcBorders>
            <w:shd w:val="clear" w:color="000000" w:fill="E7E8F2"/>
            <w:vAlign w:val="center"/>
            <w:hideMark/>
          </w:tcPr>
          <w:p w14:paraId="55DC3F64" w14:textId="77777777" w:rsidR="006F45DB" w:rsidRPr="00395A42" w:rsidRDefault="00EC2098" w:rsidP="00395A42">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4.8</w:t>
            </w:r>
          </w:p>
        </w:tc>
      </w:tr>
      <w:tr w:rsidR="009F2941" w14:paraId="13B06649" w14:textId="77777777" w:rsidTr="00475785">
        <w:trPr>
          <w:trHeight w:val="320"/>
        </w:trPr>
        <w:tc>
          <w:tcPr>
            <w:tcW w:w="4420" w:type="dxa"/>
            <w:tcBorders>
              <w:top w:val="nil"/>
              <w:left w:val="nil"/>
              <w:bottom w:val="nil"/>
              <w:right w:val="nil"/>
            </w:tcBorders>
            <w:shd w:val="clear" w:color="000000" w:fill="E7E8F2"/>
            <w:vAlign w:val="center"/>
            <w:hideMark/>
          </w:tcPr>
          <w:p w14:paraId="1A000855" w14:textId="77777777" w:rsidR="006F45DB" w:rsidRPr="00475785" w:rsidRDefault="00EC2098" w:rsidP="00475785">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lang w:val="en-GB"/>
              </w:rPr>
              <w:t>TONIA rate (year’s average), %</w:t>
            </w:r>
          </w:p>
        </w:tc>
        <w:tc>
          <w:tcPr>
            <w:tcW w:w="960" w:type="dxa"/>
            <w:tcBorders>
              <w:top w:val="nil"/>
              <w:left w:val="nil"/>
              <w:bottom w:val="nil"/>
              <w:right w:val="nil"/>
            </w:tcBorders>
            <w:shd w:val="clear" w:color="000000" w:fill="E7E8F2"/>
            <w:vAlign w:val="center"/>
            <w:hideMark/>
          </w:tcPr>
          <w:p w14:paraId="0E4C6459" w14:textId="77777777" w:rsidR="006F45DB" w:rsidRPr="00395A42" w:rsidRDefault="00EC2098" w:rsidP="00395A42">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13.9</w:t>
            </w:r>
          </w:p>
        </w:tc>
        <w:tc>
          <w:tcPr>
            <w:tcW w:w="960" w:type="dxa"/>
            <w:tcBorders>
              <w:top w:val="nil"/>
              <w:left w:val="nil"/>
              <w:bottom w:val="nil"/>
              <w:right w:val="nil"/>
            </w:tcBorders>
            <w:shd w:val="clear" w:color="000000" w:fill="E7E8F2"/>
            <w:vAlign w:val="center"/>
            <w:hideMark/>
          </w:tcPr>
          <w:p w14:paraId="23B2580A"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16.4</w:t>
            </w:r>
          </w:p>
        </w:tc>
        <w:tc>
          <w:tcPr>
            <w:tcW w:w="960" w:type="dxa"/>
            <w:tcBorders>
              <w:top w:val="nil"/>
              <w:left w:val="nil"/>
              <w:bottom w:val="nil"/>
              <w:right w:val="nil"/>
            </w:tcBorders>
            <w:shd w:val="clear" w:color="000000" w:fill="E7E8F2"/>
            <w:vAlign w:val="center"/>
            <w:hideMark/>
          </w:tcPr>
          <w:p w14:paraId="0BE849D5" w14:textId="77777777" w:rsidR="006F45DB" w:rsidRPr="00395A42" w:rsidRDefault="00EC2098" w:rsidP="00395A42">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13.4</w:t>
            </w:r>
          </w:p>
        </w:tc>
        <w:tc>
          <w:tcPr>
            <w:tcW w:w="960" w:type="dxa"/>
            <w:tcBorders>
              <w:top w:val="nil"/>
              <w:left w:val="nil"/>
              <w:bottom w:val="nil"/>
              <w:right w:val="nil"/>
            </w:tcBorders>
            <w:shd w:val="clear" w:color="000000" w:fill="E7E8F2"/>
            <w:vAlign w:val="center"/>
            <w:hideMark/>
          </w:tcPr>
          <w:p w14:paraId="69652DD1" w14:textId="77777777" w:rsidR="006F45DB" w:rsidRPr="00395A42" w:rsidRDefault="00EC2098" w:rsidP="00395A42">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9.4</w:t>
            </w:r>
          </w:p>
        </w:tc>
        <w:tc>
          <w:tcPr>
            <w:tcW w:w="960" w:type="dxa"/>
            <w:tcBorders>
              <w:top w:val="nil"/>
              <w:left w:val="nil"/>
              <w:bottom w:val="nil"/>
              <w:right w:val="nil"/>
            </w:tcBorders>
            <w:shd w:val="clear" w:color="000000" w:fill="E7E8F2"/>
            <w:vAlign w:val="center"/>
            <w:hideMark/>
          </w:tcPr>
          <w:p w14:paraId="699BA907" w14:textId="77777777" w:rsidR="006F45DB" w:rsidRPr="00395A42"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7.5</w:t>
            </w:r>
          </w:p>
        </w:tc>
      </w:tr>
      <w:tr w:rsidR="009F2941" w14:paraId="04A519D8" w14:textId="77777777" w:rsidTr="00475785">
        <w:trPr>
          <w:trHeight w:val="320"/>
        </w:trPr>
        <w:tc>
          <w:tcPr>
            <w:tcW w:w="4420" w:type="dxa"/>
            <w:tcBorders>
              <w:top w:val="nil"/>
              <w:left w:val="nil"/>
              <w:bottom w:val="nil"/>
              <w:right w:val="nil"/>
            </w:tcBorders>
            <w:shd w:val="clear" w:color="000000" w:fill="E7E8F2"/>
            <w:vAlign w:val="center"/>
            <w:hideMark/>
          </w:tcPr>
          <w:p w14:paraId="7150B1D8" w14:textId="77777777" w:rsidR="006F45DB" w:rsidRPr="00310511" w:rsidRDefault="00EC2098" w:rsidP="00475785">
            <w:pPr>
              <w:spacing w:after="0" w:line="240" w:lineRule="auto"/>
              <w:rPr>
                <w:rFonts w:ascii="Verdana" w:eastAsia="Times New Roman" w:hAnsi="Verdana" w:cs="Calibri"/>
                <w:color w:val="000000"/>
                <w:sz w:val="20"/>
                <w:szCs w:val="20"/>
                <w:lang w:val="en-US"/>
              </w:rPr>
            </w:pPr>
            <w:r>
              <w:rPr>
                <w:rFonts w:ascii="Verdana" w:eastAsia="Times New Roman" w:hAnsi="Verdana" w:cs="Calibri"/>
                <w:color w:val="000000"/>
                <w:sz w:val="20"/>
                <w:szCs w:val="20"/>
                <w:lang w:val="en-GB"/>
              </w:rPr>
              <w:t xml:space="preserve">KZT/USD exchange rate </w:t>
            </w:r>
            <w:r>
              <w:rPr>
                <w:rFonts w:ascii="Verdana" w:eastAsia="Times New Roman" w:hAnsi="Verdana" w:cs="Calibri"/>
                <w:i/>
                <w:iCs/>
                <w:color w:val="000000"/>
                <w:sz w:val="20"/>
                <w:szCs w:val="20"/>
                <w:lang w:val="en-GB"/>
              </w:rPr>
              <w:t>(year’s average)</w:t>
            </w:r>
          </w:p>
        </w:tc>
        <w:tc>
          <w:tcPr>
            <w:tcW w:w="960" w:type="dxa"/>
            <w:tcBorders>
              <w:top w:val="nil"/>
              <w:left w:val="nil"/>
              <w:bottom w:val="nil"/>
              <w:right w:val="nil"/>
            </w:tcBorders>
            <w:shd w:val="clear" w:color="000000" w:fill="E7E8F2"/>
            <w:vAlign w:val="center"/>
            <w:hideMark/>
          </w:tcPr>
          <w:p w14:paraId="3FC39591"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460.5</w:t>
            </w:r>
          </w:p>
        </w:tc>
        <w:tc>
          <w:tcPr>
            <w:tcW w:w="960" w:type="dxa"/>
            <w:tcBorders>
              <w:top w:val="nil"/>
              <w:left w:val="nil"/>
              <w:bottom w:val="nil"/>
              <w:right w:val="nil"/>
            </w:tcBorders>
            <w:shd w:val="clear" w:color="000000" w:fill="E7E8F2"/>
            <w:vAlign w:val="center"/>
            <w:hideMark/>
          </w:tcPr>
          <w:p w14:paraId="4D4DBD4F"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456.3</w:t>
            </w:r>
          </w:p>
        </w:tc>
        <w:tc>
          <w:tcPr>
            <w:tcW w:w="960" w:type="dxa"/>
            <w:tcBorders>
              <w:top w:val="nil"/>
              <w:left w:val="nil"/>
              <w:bottom w:val="nil"/>
              <w:right w:val="nil"/>
            </w:tcBorders>
            <w:shd w:val="clear" w:color="000000" w:fill="E7E8F2"/>
            <w:vAlign w:val="center"/>
            <w:hideMark/>
          </w:tcPr>
          <w:p w14:paraId="3A644D2D" w14:textId="77777777" w:rsidR="006F45DB" w:rsidRPr="00395A42" w:rsidRDefault="00EC2098" w:rsidP="00395A42">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447.1</w:t>
            </w:r>
          </w:p>
        </w:tc>
        <w:tc>
          <w:tcPr>
            <w:tcW w:w="960" w:type="dxa"/>
            <w:tcBorders>
              <w:top w:val="nil"/>
              <w:left w:val="nil"/>
              <w:bottom w:val="nil"/>
              <w:right w:val="nil"/>
            </w:tcBorders>
            <w:shd w:val="clear" w:color="000000" w:fill="E7E8F2"/>
            <w:vAlign w:val="center"/>
            <w:hideMark/>
          </w:tcPr>
          <w:p w14:paraId="34F18A25" w14:textId="77777777" w:rsidR="006F45DB" w:rsidRPr="00395A42" w:rsidRDefault="00EC2098" w:rsidP="00395A42">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455.4</w:t>
            </w:r>
          </w:p>
        </w:tc>
        <w:tc>
          <w:tcPr>
            <w:tcW w:w="960" w:type="dxa"/>
            <w:tcBorders>
              <w:top w:val="nil"/>
              <w:left w:val="nil"/>
              <w:bottom w:val="nil"/>
              <w:right w:val="nil"/>
            </w:tcBorders>
            <w:shd w:val="clear" w:color="000000" w:fill="E7E8F2"/>
            <w:vAlign w:val="center"/>
            <w:hideMark/>
          </w:tcPr>
          <w:p w14:paraId="314D7C44" w14:textId="77777777" w:rsidR="006F45DB" w:rsidRPr="00475785" w:rsidRDefault="00EC2098" w:rsidP="00395A42">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473.3</w:t>
            </w:r>
          </w:p>
        </w:tc>
      </w:tr>
      <w:tr w:rsidR="009F2941" w14:paraId="10B20D3D" w14:textId="77777777" w:rsidTr="00475785">
        <w:trPr>
          <w:trHeight w:val="300"/>
        </w:trPr>
        <w:tc>
          <w:tcPr>
            <w:tcW w:w="8260" w:type="dxa"/>
            <w:gridSpan w:val="5"/>
            <w:tcBorders>
              <w:top w:val="nil"/>
              <w:left w:val="nil"/>
              <w:bottom w:val="nil"/>
              <w:right w:val="nil"/>
            </w:tcBorders>
            <w:shd w:val="clear" w:color="000000" w:fill="CBCDE3"/>
            <w:vAlign w:val="center"/>
            <w:hideMark/>
          </w:tcPr>
          <w:p w14:paraId="4CDD1E7A" w14:textId="77777777" w:rsidR="006F45DB" w:rsidRPr="00475785" w:rsidRDefault="00EC2098" w:rsidP="00475785">
            <w:pPr>
              <w:spacing w:after="0" w:line="240" w:lineRule="auto"/>
              <w:jc w:val="center"/>
              <w:rPr>
                <w:rFonts w:ascii="Verdana" w:eastAsia="Times New Roman" w:hAnsi="Verdana" w:cs="Calibri"/>
                <w:b/>
                <w:bCs/>
                <w:color w:val="000000"/>
                <w:sz w:val="20"/>
                <w:szCs w:val="20"/>
              </w:rPr>
            </w:pPr>
            <w:r>
              <w:rPr>
                <w:rFonts w:ascii="Verdana" w:eastAsia="Times New Roman" w:hAnsi="Verdana" w:cs="Calibri"/>
                <w:b/>
                <w:bCs/>
                <w:color w:val="000000"/>
                <w:sz w:val="20"/>
                <w:szCs w:val="20"/>
                <w:lang w:val="en-GB"/>
              </w:rPr>
              <w:t>Kyrgyz Republic</w:t>
            </w:r>
          </w:p>
        </w:tc>
        <w:tc>
          <w:tcPr>
            <w:tcW w:w="960" w:type="dxa"/>
            <w:tcBorders>
              <w:top w:val="nil"/>
              <w:left w:val="nil"/>
              <w:bottom w:val="nil"/>
              <w:right w:val="nil"/>
            </w:tcBorders>
            <w:shd w:val="clear" w:color="000000" w:fill="CBCDE3"/>
            <w:vAlign w:val="center"/>
            <w:hideMark/>
          </w:tcPr>
          <w:p w14:paraId="59E71233" w14:textId="77777777" w:rsidR="006F45DB" w:rsidRPr="00475785" w:rsidRDefault="00EC2098" w:rsidP="00475785">
            <w:pPr>
              <w:spacing w:after="0" w:line="240" w:lineRule="auto"/>
              <w:jc w:val="center"/>
              <w:rPr>
                <w:rFonts w:ascii="Verdana" w:eastAsia="Times New Roman" w:hAnsi="Verdana" w:cs="Calibri"/>
                <w:b/>
                <w:bCs/>
                <w:color w:val="000000"/>
                <w:sz w:val="20"/>
                <w:szCs w:val="20"/>
              </w:rPr>
            </w:pPr>
            <w:r>
              <w:rPr>
                <w:rFonts w:ascii="Verdana" w:eastAsia="Times New Roman" w:hAnsi="Verdana" w:cs="Calibri"/>
                <w:b/>
                <w:bCs/>
                <w:color w:val="000000"/>
                <w:sz w:val="20"/>
                <w:szCs w:val="20"/>
                <w:lang w:val="en-GB"/>
              </w:rPr>
              <w:t> </w:t>
            </w:r>
          </w:p>
        </w:tc>
      </w:tr>
      <w:tr w:rsidR="009F2941" w14:paraId="78671752" w14:textId="77777777" w:rsidTr="00475785">
        <w:trPr>
          <w:trHeight w:val="320"/>
        </w:trPr>
        <w:tc>
          <w:tcPr>
            <w:tcW w:w="4420" w:type="dxa"/>
            <w:tcBorders>
              <w:top w:val="nil"/>
              <w:left w:val="nil"/>
              <w:bottom w:val="nil"/>
              <w:right w:val="nil"/>
            </w:tcBorders>
            <w:shd w:val="clear" w:color="000000" w:fill="E7E8F2"/>
            <w:vAlign w:val="center"/>
            <w:hideMark/>
          </w:tcPr>
          <w:p w14:paraId="19B2A76B" w14:textId="77777777" w:rsidR="006F45DB" w:rsidRPr="00475785" w:rsidRDefault="00EC2098" w:rsidP="00475785">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lang w:val="en-GB"/>
              </w:rPr>
              <w:t>GDP in comparable prices</w:t>
            </w:r>
          </w:p>
        </w:tc>
        <w:tc>
          <w:tcPr>
            <w:tcW w:w="960" w:type="dxa"/>
            <w:tcBorders>
              <w:top w:val="nil"/>
              <w:left w:val="nil"/>
              <w:bottom w:val="nil"/>
              <w:right w:val="nil"/>
            </w:tcBorders>
            <w:shd w:val="clear" w:color="000000" w:fill="E7E8F2"/>
            <w:vAlign w:val="center"/>
            <w:hideMark/>
          </w:tcPr>
          <w:p w14:paraId="75CD6792"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9.0</w:t>
            </w:r>
          </w:p>
        </w:tc>
        <w:tc>
          <w:tcPr>
            <w:tcW w:w="960" w:type="dxa"/>
            <w:tcBorders>
              <w:top w:val="nil"/>
              <w:left w:val="nil"/>
              <w:bottom w:val="nil"/>
              <w:right w:val="nil"/>
            </w:tcBorders>
            <w:shd w:val="clear" w:color="000000" w:fill="E7E8F2"/>
            <w:vAlign w:val="center"/>
            <w:hideMark/>
          </w:tcPr>
          <w:p w14:paraId="640B329D"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6.2</w:t>
            </w:r>
          </w:p>
        </w:tc>
        <w:tc>
          <w:tcPr>
            <w:tcW w:w="960" w:type="dxa"/>
            <w:tcBorders>
              <w:top w:val="nil"/>
              <w:left w:val="nil"/>
              <w:bottom w:val="nil"/>
              <w:right w:val="nil"/>
            </w:tcBorders>
            <w:shd w:val="clear" w:color="000000" w:fill="E7E8F2"/>
            <w:vAlign w:val="center"/>
            <w:hideMark/>
          </w:tcPr>
          <w:p w14:paraId="1CA1A481"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5.5</w:t>
            </w:r>
          </w:p>
        </w:tc>
        <w:tc>
          <w:tcPr>
            <w:tcW w:w="960" w:type="dxa"/>
            <w:tcBorders>
              <w:top w:val="nil"/>
              <w:left w:val="nil"/>
              <w:bottom w:val="nil"/>
              <w:right w:val="nil"/>
            </w:tcBorders>
            <w:shd w:val="clear" w:color="000000" w:fill="E7E8F2"/>
            <w:vAlign w:val="center"/>
            <w:hideMark/>
          </w:tcPr>
          <w:p w14:paraId="003098D2" w14:textId="17275E46" w:rsidR="006F45DB" w:rsidRPr="00475785" w:rsidRDefault="00572776" w:rsidP="00572776">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rPr>
              <w:t>5</w:t>
            </w:r>
            <w:r w:rsidR="00EC2098">
              <w:rPr>
                <w:rFonts w:ascii="Verdana" w:eastAsia="Times New Roman" w:hAnsi="Verdana" w:cs="Calibri"/>
                <w:color w:val="000000"/>
                <w:sz w:val="20"/>
                <w:szCs w:val="20"/>
                <w:lang w:val="en-GB"/>
              </w:rPr>
              <w:t>.</w:t>
            </w:r>
            <w:r>
              <w:rPr>
                <w:rFonts w:ascii="Verdana" w:eastAsia="Times New Roman" w:hAnsi="Verdana" w:cs="Calibri"/>
                <w:color w:val="000000"/>
                <w:sz w:val="20"/>
                <w:szCs w:val="20"/>
              </w:rPr>
              <w:t>3</w:t>
            </w:r>
          </w:p>
        </w:tc>
        <w:tc>
          <w:tcPr>
            <w:tcW w:w="960" w:type="dxa"/>
            <w:tcBorders>
              <w:top w:val="nil"/>
              <w:left w:val="nil"/>
              <w:bottom w:val="nil"/>
              <w:right w:val="nil"/>
            </w:tcBorders>
            <w:shd w:val="clear" w:color="000000" w:fill="E7E8F2"/>
            <w:vAlign w:val="center"/>
            <w:hideMark/>
          </w:tcPr>
          <w:p w14:paraId="63636D5B" w14:textId="458C02A0" w:rsidR="006F45DB" w:rsidRPr="00475785" w:rsidRDefault="00572776" w:rsidP="00572776">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rPr>
              <w:t>4</w:t>
            </w:r>
            <w:r w:rsidR="00EC2098">
              <w:rPr>
                <w:rFonts w:ascii="Verdana" w:eastAsia="Times New Roman" w:hAnsi="Verdana" w:cs="Calibri"/>
                <w:color w:val="000000"/>
                <w:sz w:val="20"/>
                <w:szCs w:val="20"/>
                <w:lang w:val="en-GB"/>
              </w:rPr>
              <w:t>.</w:t>
            </w:r>
            <w:r>
              <w:rPr>
                <w:rFonts w:ascii="Verdana" w:eastAsia="Times New Roman" w:hAnsi="Verdana" w:cs="Calibri"/>
                <w:color w:val="000000"/>
                <w:sz w:val="20"/>
                <w:szCs w:val="20"/>
              </w:rPr>
              <w:t>1</w:t>
            </w:r>
          </w:p>
        </w:tc>
      </w:tr>
      <w:tr w:rsidR="009F2941" w14:paraId="7F006585" w14:textId="77777777" w:rsidTr="00475785">
        <w:trPr>
          <w:trHeight w:val="320"/>
        </w:trPr>
        <w:tc>
          <w:tcPr>
            <w:tcW w:w="4420" w:type="dxa"/>
            <w:tcBorders>
              <w:top w:val="nil"/>
              <w:left w:val="nil"/>
              <w:bottom w:val="nil"/>
              <w:right w:val="nil"/>
            </w:tcBorders>
            <w:shd w:val="clear" w:color="000000" w:fill="E7E8F2"/>
            <w:vAlign w:val="center"/>
            <w:hideMark/>
          </w:tcPr>
          <w:p w14:paraId="25F69628" w14:textId="77777777" w:rsidR="006F45DB" w:rsidRPr="00475785" w:rsidRDefault="00EC2098" w:rsidP="00475785">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lang w:val="en-GB"/>
              </w:rPr>
              <w:t xml:space="preserve">Inflation </w:t>
            </w:r>
            <w:r>
              <w:rPr>
                <w:rFonts w:ascii="Verdana" w:eastAsia="Times New Roman" w:hAnsi="Verdana" w:cs="Calibri"/>
                <w:i/>
                <w:iCs/>
                <w:color w:val="000000"/>
                <w:sz w:val="20"/>
                <w:szCs w:val="20"/>
                <w:lang w:val="en-GB"/>
              </w:rPr>
              <w:t>(year-end)</w:t>
            </w:r>
          </w:p>
        </w:tc>
        <w:tc>
          <w:tcPr>
            <w:tcW w:w="960" w:type="dxa"/>
            <w:tcBorders>
              <w:top w:val="nil"/>
              <w:left w:val="nil"/>
              <w:bottom w:val="nil"/>
              <w:right w:val="nil"/>
            </w:tcBorders>
            <w:shd w:val="clear" w:color="000000" w:fill="E7E8F2"/>
            <w:vAlign w:val="center"/>
            <w:hideMark/>
          </w:tcPr>
          <w:p w14:paraId="7FEB4FA0"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14.7</w:t>
            </w:r>
          </w:p>
        </w:tc>
        <w:tc>
          <w:tcPr>
            <w:tcW w:w="960" w:type="dxa"/>
            <w:tcBorders>
              <w:top w:val="nil"/>
              <w:left w:val="nil"/>
              <w:bottom w:val="nil"/>
              <w:right w:val="nil"/>
            </w:tcBorders>
            <w:shd w:val="clear" w:color="000000" w:fill="E7E8F2"/>
            <w:vAlign w:val="center"/>
            <w:hideMark/>
          </w:tcPr>
          <w:p w14:paraId="015A97D4"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7.3</w:t>
            </w:r>
          </w:p>
        </w:tc>
        <w:tc>
          <w:tcPr>
            <w:tcW w:w="960" w:type="dxa"/>
            <w:tcBorders>
              <w:top w:val="nil"/>
              <w:left w:val="nil"/>
              <w:bottom w:val="nil"/>
              <w:right w:val="nil"/>
            </w:tcBorders>
            <w:shd w:val="clear" w:color="000000" w:fill="E7E8F2"/>
            <w:vAlign w:val="center"/>
            <w:hideMark/>
          </w:tcPr>
          <w:p w14:paraId="0B7F464F" w14:textId="62F6294D" w:rsidR="006F45DB" w:rsidRPr="00475785" w:rsidRDefault="00572776" w:rsidP="00572776">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rPr>
              <w:t>4</w:t>
            </w:r>
            <w:r w:rsidR="00EC2098">
              <w:rPr>
                <w:rFonts w:ascii="Verdana" w:eastAsia="Times New Roman" w:hAnsi="Verdana" w:cs="Calibri"/>
                <w:color w:val="000000"/>
                <w:sz w:val="20"/>
                <w:szCs w:val="20"/>
                <w:lang w:val="en-GB"/>
              </w:rPr>
              <w:t>.</w:t>
            </w:r>
            <w:r>
              <w:rPr>
                <w:rFonts w:ascii="Verdana" w:eastAsia="Times New Roman" w:hAnsi="Verdana" w:cs="Calibri"/>
                <w:color w:val="000000"/>
                <w:sz w:val="20"/>
                <w:szCs w:val="20"/>
              </w:rPr>
              <w:t>3</w:t>
            </w:r>
          </w:p>
        </w:tc>
        <w:tc>
          <w:tcPr>
            <w:tcW w:w="960" w:type="dxa"/>
            <w:tcBorders>
              <w:top w:val="nil"/>
              <w:left w:val="nil"/>
              <w:bottom w:val="nil"/>
              <w:right w:val="nil"/>
            </w:tcBorders>
            <w:shd w:val="clear" w:color="000000" w:fill="E7E8F2"/>
            <w:vAlign w:val="center"/>
            <w:hideMark/>
          </w:tcPr>
          <w:p w14:paraId="2CB8F136" w14:textId="1A2DCF40" w:rsidR="006F45DB" w:rsidRPr="00475785" w:rsidRDefault="00572776" w:rsidP="00572776">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rPr>
              <w:t>6</w:t>
            </w:r>
            <w:r w:rsidR="00EC2098">
              <w:rPr>
                <w:rFonts w:ascii="Verdana" w:eastAsia="Times New Roman" w:hAnsi="Verdana" w:cs="Calibri"/>
                <w:color w:val="000000"/>
                <w:sz w:val="20"/>
                <w:szCs w:val="20"/>
                <w:lang w:val="en-GB"/>
              </w:rPr>
              <w:t>.</w:t>
            </w:r>
            <w:r>
              <w:rPr>
                <w:rFonts w:ascii="Verdana" w:eastAsia="Times New Roman" w:hAnsi="Verdana" w:cs="Calibri"/>
                <w:color w:val="000000"/>
                <w:sz w:val="20"/>
                <w:szCs w:val="20"/>
              </w:rPr>
              <w:t>9</w:t>
            </w:r>
          </w:p>
        </w:tc>
        <w:tc>
          <w:tcPr>
            <w:tcW w:w="960" w:type="dxa"/>
            <w:tcBorders>
              <w:top w:val="nil"/>
              <w:left w:val="nil"/>
              <w:bottom w:val="nil"/>
              <w:right w:val="nil"/>
            </w:tcBorders>
            <w:shd w:val="clear" w:color="000000" w:fill="E7E8F2"/>
            <w:vAlign w:val="center"/>
            <w:hideMark/>
          </w:tcPr>
          <w:p w14:paraId="4E0A5F8C" w14:textId="16356A23" w:rsidR="006F45DB" w:rsidRPr="00475785" w:rsidRDefault="00572776" w:rsidP="00572776">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rPr>
              <w:t>6</w:t>
            </w:r>
            <w:r w:rsidR="00EC2098">
              <w:rPr>
                <w:rFonts w:ascii="Verdana" w:eastAsia="Times New Roman" w:hAnsi="Verdana" w:cs="Calibri"/>
                <w:color w:val="000000"/>
                <w:sz w:val="20"/>
                <w:szCs w:val="20"/>
                <w:lang w:val="en-GB"/>
              </w:rPr>
              <w:t>.</w:t>
            </w:r>
            <w:r>
              <w:rPr>
                <w:rFonts w:ascii="Verdana" w:eastAsia="Times New Roman" w:hAnsi="Verdana" w:cs="Calibri"/>
                <w:color w:val="000000"/>
                <w:sz w:val="20"/>
                <w:szCs w:val="20"/>
              </w:rPr>
              <w:t>5</w:t>
            </w:r>
          </w:p>
        </w:tc>
      </w:tr>
      <w:tr w:rsidR="009F2941" w14:paraId="7FC95C52" w14:textId="77777777" w:rsidTr="00475785">
        <w:trPr>
          <w:trHeight w:val="480"/>
        </w:trPr>
        <w:tc>
          <w:tcPr>
            <w:tcW w:w="4420" w:type="dxa"/>
            <w:tcBorders>
              <w:top w:val="nil"/>
              <w:left w:val="nil"/>
              <w:bottom w:val="nil"/>
              <w:right w:val="nil"/>
            </w:tcBorders>
            <w:shd w:val="clear" w:color="000000" w:fill="E7E8F2"/>
            <w:vAlign w:val="center"/>
            <w:hideMark/>
          </w:tcPr>
          <w:p w14:paraId="4D4397CD" w14:textId="77777777" w:rsidR="006F45DB" w:rsidRPr="00310511" w:rsidRDefault="00EC2098" w:rsidP="00475785">
            <w:pPr>
              <w:spacing w:after="0" w:line="240" w:lineRule="auto"/>
              <w:rPr>
                <w:rFonts w:ascii="Verdana" w:eastAsia="Times New Roman" w:hAnsi="Verdana" w:cs="Calibri"/>
                <w:color w:val="000000"/>
                <w:sz w:val="20"/>
                <w:szCs w:val="20"/>
                <w:lang w:val="en-US"/>
              </w:rPr>
            </w:pPr>
            <w:r>
              <w:rPr>
                <w:rFonts w:ascii="Verdana" w:eastAsia="Times New Roman" w:hAnsi="Verdana" w:cs="Calibri"/>
                <w:color w:val="000000"/>
                <w:sz w:val="20"/>
                <w:szCs w:val="20"/>
                <w:lang w:val="en-GB"/>
              </w:rPr>
              <w:t>Seven-day REPO rate (year’s average), %</w:t>
            </w:r>
          </w:p>
        </w:tc>
        <w:tc>
          <w:tcPr>
            <w:tcW w:w="960" w:type="dxa"/>
            <w:tcBorders>
              <w:top w:val="nil"/>
              <w:left w:val="nil"/>
              <w:bottom w:val="nil"/>
              <w:right w:val="nil"/>
            </w:tcBorders>
            <w:shd w:val="clear" w:color="000000" w:fill="E7E8F2"/>
            <w:vAlign w:val="center"/>
            <w:hideMark/>
          </w:tcPr>
          <w:p w14:paraId="3523704F"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12.1</w:t>
            </w:r>
          </w:p>
        </w:tc>
        <w:tc>
          <w:tcPr>
            <w:tcW w:w="960" w:type="dxa"/>
            <w:tcBorders>
              <w:top w:val="nil"/>
              <w:left w:val="nil"/>
              <w:bottom w:val="nil"/>
              <w:right w:val="nil"/>
            </w:tcBorders>
            <w:shd w:val="clear" w:color="000000" w:fill="E7E8F2"/>
            <w:vAlign w:val="center"/>
            <w:hideMark/>
          </w:tcPr>
          <w:p w14:paraId="2B986290"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11.4</w:t>
            </w:r>
          </w:p>
        </w:tc>
        <w:tc>
          <w:tcPr>
            <w:tcW w:w="960" w:type="dxa"/>
            <w:tcBorders>
              <w:top w:val="nil"/>
              <w:left w:val="nil"/>
              <w:bottom w:val="nil"/>
              <w:right w:val="nil"/>
            </w:tcBorders>
            <w:shd w:val="clear" w:color="000000" w:fill="E7E8F2"/>
            <w:vAlign w:val="center"/>
            <w:hideMark/>
          </w:tcPr>
          <w:p w14:paraId="1009FC51" w14:textId="0FDF8BAA" w:rsidR="006F45DB" w:rsidRPr="00475785" w:rsidRDefault="00EC2098" w:rsidP="00572776">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w:t>
            </w:r>
            <w:r w:rsidR="00572776">
              <w:rPr>
                <w:rFonts w:ascii="Verdana" w:eastAsia="Times New Roman" w:hAnsi="Verdana" w:cs="Calibri"/>
                <w:color w:val="000000"/>
                <w:sz w:val="20"/>
                <w:szCs w:val="20"/>
              </w:rPr>
              <w:t>1</w:t>
            </w:r>
            <w:r>
              <w:rPr>
                <w:rFonts w:ascii="Verdana" w:eastAsia="Times New Roman" w:hAnsi="Verdana" w:cs="Calibri"/>
                <w:color w:val="000000"/>
                <w:sz w:val="20"/>
                <w:szCs w:val="20"/>
                <w:lang w:val="en-GB"/>
              </w:rPr>
              <w:t>.</w:t>
            </w:r>
            <w:r w:rsidR="00572776">
              <w:rPr>
                <w:rFonts w:ascii="Verdana" w:eastAsia="Times New Roman" w:hAnsi="Verdana" w:cs="Calibri"/>
                <w:color w:val="000000"/>
                <w:sz w:val="20"/>
                <w:szCs w:val="20"/>
              </w:rPr>
              <w:t>0</w:t>
            </w:r>
          </w:p>
        </w:tc>
        <w:tc>
          <w:tcPr>
            <w:tcW w:w="960" w:type="dxa"/>
            <w:tcBorders>
              <w:top w:val="nil"/>
              <w:left w:val="nil"/>
              <w:bottom w:val="nil"/>
              <w:right w:val="nil"/>
            </w:tcBorders>
            <w:shd w:val="clear" w:color="000000" w:fill="E7E8F2"/>
            <w:vAlign w:val="center"/>
            <w:hideMark/>
          </w:tcPr>
          <w:p w14:paraId="6A216645" w14:textId="5A8E2B65" w:rsidR="006F45DB" w:rsidRPr="00475785" w:rsidRDefault="00572776" w:rsidP="00572776">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rPr>
              <w:t>10</w:t>
            </w:r>
            <w:r w:rsidR="00EC2098">
              <w:rPr>
                <w:rFonts w:ascii="Verdana" w:eastAsia="Times New Roman" w:hAnsi="Verdana" w:cs="Calibri"/>
                <w:color w:val="000000"/>
                <w:sz w:val="20"/>
                <w:szCs w:val="20"/>
                <w:lang w:val="en-GB"/>
              </w:rPr>
              <w:t>.</w:t>
            </w:r>
            <w:r>
              <w:rPr>
                <w:rFonts w:ascii="Verdana" w:eastAsia="Times New Roman" w:hAnsi="Verdana" w:cs="Calibri"/>
                <w:color w:val="000000"/>
                <w:sz w:val="20"/>
                <w:szCs w:val="20"/>
              </w:rPr>
              <w:t>7</w:t>
            </w:r>
          </w:p>
        </w:tc>
        <w:tc>
          <w:tcPr>
            <w:tcW w:w="960" w:type="dxa"/>
            <w:tcBorders>
              <w:top w:val="nil"/>
              <w:left w:val="nil"/>
              <w:bottom w:val="nil"/>
              <w:right w:val="nil"/>
            </w:tcBorders>
            <w:shd w:val="clear" w:color="000000" w:fill="E7E8F2"/>
            <w:vAlign w:val="center"/>
            <w:hideMark/>
          </w:tcPr>
          <w:p w14:paraId="1E5D63C6" w14:textId="42122B0F" w:rsidR="006F45DB" w:rsidRPr="00475785" w:rsidRDefault="00572776" w:rsidP="00572776">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rPr>
              <w:t>10</w:t>
            </w:r>
            <w:r w:rsidR="00EC2098">
              <w:rPr>
                <w:rFonts w:ascii="Verdana" w:eastAsia="Times New Roman" w:hAnsi="Verdana" w:cs="Calibri"/>
                <w:color w:val="000000"/>
                <w:sz w:val="20"/>
                <w:szCs w:val="20"/>
                <w:lang w:val="en-GB"/>
              </w:rPr>
              <w:t>.</w:t>
            </w:r>
            <w:r>
              <w:rPr>
                <w:rFonts w:ascii="Verdana" w:eastAsia="Times New Roman" w:hAnsi="Verdana" w:cs="Calibri"/>
                <w:color w:val="000000"/>
                <w:sz w:val="20"/>
                <w:szCs w:val="20"/>
              </w:rPr>
              <w:t>7</w:t>
            </w:r>
          </w:p>
        </w:tc>
      </w:tr>
      <w:tr w:rsidR="009F2941" w14:paraId="4BFBD34A" w14:textId="77777777" w:rsidTr="00475785">
        <w:trPr>
          <w:trHeight w:val="320"/>
        </w:trPr>
        <w:tc>
          <w:tcPr>
            <w:tcW w:w="4420" w:type="dxa"/>
            <w:tcBorders>
              <w:top w:val="nil"/>
              <w:left w:val="nil"/>
              <w:bottom w:val="nil"/>
              <w:right w:val="nil"/>
            </w:tcBorders>
            <w:shd w:val="clear" w:color="000000" w:fill="E7E8F2"/>
            <w:vAlign w:val="center"/>
            <w:hideMark/>
          </w:tcPr>
          <w:p w14:paraId="6AE7BB3C" w14:textId="77777777" w:rsidR="006F45DB" w:rsidRPr="00310511" w:rsidRDefault="00EC2098" w:rsidP="00475785">
            <w:pPr>
              <w:spacing w:after="0" w:line="240" w:lineRule="auto"/>
              <w:rPr>
                <w:rFonts w:ascii="Verdana" w:eastAsia="Times New Roman" w:hAnsi="Verdana" w:cs="Calibri"/>
                <w:color w:val="000000"/>
                <w:sz w:val="20"/>
                <w:szCs w:val="20"/>
                <w:lang w:val="en-US"/>
              </w:rPr>
            </w:pPr>
            <w:r>
              <w:rPr>
                <w:rFonts w:ascii="Verdana" w:eastAsia="Times New Roman" w:hAnsi="Verdana" w:cs="Calibri"/>
                <w:color w:val="000000"/>
                <w:sz w:val="20"/>
                <w:szCs w:val="20"/>
                <w:lang w:val="en-GB"/>
              </w:rPr>
              <w:t xml:space="preserve">KGS/USD exchange rate </w:t>
            </w:r>
            <w:r>
              <w:rPr>
                <w:rFonts w:ascii="Verdana" w:eastAsia="Times New Roman" w:hAnsi="Verdana" w:cs="Calibri"/>
                <w:i/>
                <w:iCs/>
                <w:color w:val="000000"/>
                <w:sz w:val="20"/>
                <w:szCs w:val="20"/>
                <w:lang w:val="en-GB"/>
              </w:rPr>
              <w:t>(year’s average)</w:t>
            </w:r>
          </w:p>
        </w:tc>
        <w:tc>
          <w:tcPr>
            <w:tcW w:w="960" w:type="dxa"/>
            <w:tcBorders>
              <w:top w:val="nil"/>
              <w:left w:val="nil"/>
              <w:bottom w:val="nil"/>
              <w:right w:val="nil"/>
            </w:tcBorders>
            <w:shd w:val="clear" w:color="000000" w:fill="E7E8F2"/>
            <w:vAlign w:val="center"/>
            <w:hideMark/>
          </w:tcPr>
          <w:p w14:paraId="5706D9F7"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84.1</w:t>
            </w:r>
          </w:p>
        </w:tc>
        <w:tc>
          <w:tcPr>
            <w:tcW w:w="960" w:type="dxa"/>
            <w:tcBorders>
              <w:top w:val="nil"/>
              <w:left w:val="nil"/>
              <w:bottom w:val="nil"/>
              <w:right w:val="nil"/>
            </w:tcBorders>
            <w:shd w:val="clear" w:color="000000" w:fill="E7E8F2"/>
            <w:vAlign w:val="center"/>
            <w:hideMark/>
          </w:tcPr>
          <w:p w14:paraId="3CE4CB99"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87.9</w:t>
            </w:r>
          </w:p>
        </w:tc>
        <w:tc>
          <w:tcPr>
            <w:tcW w:w="960" w:type="dxa"/>
            <w:tcBorders>
              <w:top w:val="nil"/>
              <w:left w:val="nil"/>
              <w:bottom w:val="nil"/>
              <w:right w:val="nil"/>
            </w:tcBorders>
            <w:shd w:val="clear" w:color="000000" w:fill="E7E8F2"/>
            <w:vAlign w:val="center"/>
            <w:hideMark/>
          </w:tcPr>
          <w:p w14:paraId="30637184" w14:textId="4E0AB331" w:rsidR="006F45DB" w:rsidRPr="00475785" w:rsidRDefault="00EC2098" w:rsidP="00572776">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89.</w:t>
            </w:r>
            <w:r w:rsidR="00572776">
              <w:rPr>
                <w:rFonts w:ascii="Verdana" w:eastAsia="Times New Roman" w:hAnsi="Verdana" w:cs="Calibri"/>
                <w:color w:val="000000"/>
                <w:sz w:val="20"/>
                <w:szCs w:val="20"/>
              </w:rPr>
              <w:t>4</w:t>
            </w:r>
          </w:p>
        </w:tc>
        <w:tc>
          <w:tcPr>
            <w:tcW w:w="960" w:type="dxa"/>
            <w:tcBorders>
              <w:top w:val="nil"/>
              <w:left w:val="nil"/>
              <w:bottom w:val="nil"/>
              <w:right w:val="nil"/>
            </w:tcBorders>
            <w:shd w:val="clear" w:color="000000" w:fill="E7E8F2"/>
            <w:vAlign w:val="center"/>
            <w:hideMark/>
          </w:tcPr>
          <w:p w14:paraId="7206B2FC" w14:textId="2CCFC069" w:rsidR="006F45DB" w:rsidRPr="00475785" w:rsidRDefault="00EC2098" w:rsidP="00572776">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9</w:t>
            </w:r>
            <w:r w:rsidR="00572776">
              <w:rPr>
                <w:rFonts w:ascii="Verdana" w:eastAsia="Times New Roman" w:hAnsi="Verdana" w:cs="Calibri"/>
                <w:color w:val="000000"/>
                <w:sz w:val="20"/>
                <w:szCs w:val="20"/>
              </w:rPr>
              <w:t>2</w:t>
            </w:r>
            <w:r>
              <w:rPr>
                <w:rFonts w:ascii="Verdana" w:eastAsia="Times New Roman" w:hAnsi="Verdana" w:cs="Calibri"/>
                <w:color w:val="000000"/>
                <w:sz w:val="20"/>
                <w:szCs w:val="20"/>
                <w:lang w:val="en-GB"/>
              </w:rPr>
              <w:t>.</w:t>
            </w:r>
            <w:r w:rsidR="00572776">
              <w:rPr>
                <w:rFonts w:ascii="Verdana" w:eastAsia="Times New Roman" w:hAnsi="Verdana" w:cs="Calibri"/>
                <w:color w:val="000000"/>
                <w:sz w:val="20"/>
                <w:szCs w:val="20"/>
              </w:rPr>
              <w:t>6</w:t>
            </w:r>
          </w:p>
        </w:tc>
        <w:tc>
          <w:tcPr>
            <w:tcW w:w="960" w:type="dxa"/>
            <w:tcBorders>
              <w:top w:val="nil"/>
              <w:left w:val="nil"/>
              <w:bottom w:val="nil"/>
              <w:right w:val="nil"/>
            </w:tcBorders>
            <w:shd w:val="clear" w:color="000000" w:fill="E7E8F2"/>
            <w:vAlign w:val="center"/>
            <w:hideMark/>
          </w:tcPr>
          <w:p w14:paraId="060D6C2E" w14:textId="39155742" w:rsidR="006F45DB" w:rsidRPr="00475785" w:rsidRDefault="00EC2098" w:rsidP="00572776">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94.</w:t>
            </w:r>
            <w:r w:rsidR="00572776">
              <w:rPr>
                <w:rFonts w:ascii="Verdana" w:eastAsia="Times New Roman" w:hAnsi="Verdana" w:cs="Calibri"/>
                <w:color w:val="000000"/>
                <w:sz w:val="20"/>
                <w:szCs w:val="20"/>
              </w:rPr>
              <w:t>9</w:t>
            </w:r>
          </w:p>
        </w:tc>
      </w:tr>
      <w:tr w:rsidR="009F2941" w14:paraId="0BDA1E1C" w14:textId="77777777" w:rsidTr="00475785">
        <w:trPr>
          <w:trHeight w:val="290"/>
        </w:trPr>
        <w:tc>
          <w:tcPr>
            <w:tcW w:w="8260" w:type="dxa"/>
            <w:gridSpan w:val="5"/>
            <w:tcBorders>
              <w:top w:val="nil"/>
              <w:left w:val="nil"/>
              <w:bottom w:val="nil"/>
              <w:right w:val="nil"/>
            </w:tcBorders>
            <w:shd w:val="clear" w:color="000000" w:fill="CBCDE3"/>
            <w:vAlign w:val="center"/>
            <w:hideMark/>
          </w:tcPr>
          <w:p w14:paraId="16E588AA" w14:textId="77777777" w:rsidR="006F45DB" w:rsidRPr="00475785" w:rsidRDefault="00EC2098" w:rsidP="00475785">
            <w:pPr>
              <w:spacing w:after="0" w:line="240" w:lineRule="auto"/>
              <w:jc w:val="center"/>
              <w:rPr>
                <w:rFonts w:ascii="Verdana" w:eastAsia="Times New Roman" w:hAnsi="Verdana" w:cs="Calibri"/>
                <w:b/>
                <w:bCs/>
                <w:color w:val="000000"/>
                <w:sz w:val="20"/>
                <w:szCs w:val="20"/>
              </w:rPr>
            </w:pPr>
            <w:r>
              <w:rPr>
                <w:rFonts w:ascii="Verdana" w:eastAsia="Times New Roman" w:hAnsi="Verdana" w:cs="Calibri"/>
                <w:b/>
                <w:bCs/>
                <w:color w:val="000000"/>
                <w:sz w:val="20"/>
                <w:szCs w:val="20"/>
                <w:lang w:val="en-GB"/>
              </w:rPr>
              <w:t>Russia</w:t>
            </w:r>
          </w:p>
        </w:tc>
        <w:tc>
          <w:tcPr>
            <w:tcW w:w="960" w:type="dxa"/>
            <w:tcBorders>
              <w:top w:val="nil"/>
              <w:left w:val="nil"/>
              <w:bottom w:val="nil"/>
              <w:right w:val="nil"/>
            </w:tcBorders>
            <w:shd w:val="clear" w:color="000000" w:fill="CBCDE3"/>
            <w:vAlign w:val="center"/>
            <w:hideMark/>
          </w:tcPr>
          <w:p w14:paraId="7EB89FDF" w14:textId="77777777" w:rsidR="006F45DB" w:rsidRPr="00475785" w:rsidRDefault="00EC2098" w:rsidP="00475785">
            <w:pPr>
              <w:spacing w:after="0" w:line="240" w:lineRule="auto"/>
              <w:jc w:val="center"/>
              <w:rPr>
                <w:rFonts w:ascii="Verdana" w:eastAsia="Times New Roman" w:hAnsi="Verdana" w:cs="Calibri"/>
                <w:b/>
                <w:bCs/>
                <w:color w:val="000000"/>
                <w:sz w:val="20"/>
                <w:szCs w:val="20"/>
              </w:rPr>
            </w:pPr>
            <w:r>
              <w:rPr>
                <w:rFonts w:ascii="Verdana" w:eastAsia="Times New Roman" w:hAnsi="Verdana" w:cs="Calibri"/>
                <w:b/>
                <w:bCs/>
                <w:color w:val="000000"/>
                <w:sz w:val="20"/>
                <w:szCs w:val="20"/>
                <w:lang w:val="en-GB"/>
              </w:rPr>
              <w:t> </w:t>
            </w:r>
          </w:p>
        </w:tc>
      </w:tr>
      <w:tr w:rsidR="009F2941" w14:paraId="076EB674" w14:textId="77777777" w:rsidTr="00475785">
        <w:trPr>
          <w:trHeight w:val="310"/>
        </w:trPr>
        <w:tc>
          <w:tcPr>
            <w:tcW w:w="4420" w:type="dxa"/>
            <w:tcBorders>
              <w:top w:val="nil"/>
              <w:left w:val="nil"/>
              <w:bottom w:val="nil"/>
              <w:right w:val="nil"/>
            </w:tcBorders>
            <w:shd w:val="clear" w:color="000000" w:fill="E7E8F2"/>
            <w:vAlign w:val="center"/>
            <w:hideMark/>
          </w:tcPr>
          <w:p w14:paraId="49C1C175" w14:textId="77777777" w:rsidR="006F45DB" w:rsidRPr="00475785" w:rsidRDefault="00EC2098" w:rsidP="005B4390">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lang w:val="en-GB"/>
              </w:rPr>
              <w:t>GDP in comparable prices</w:t>
            </w:r>
          </w:p>
        </w:tc>
        <w:tc>
          <w:tcPr>
            <w:tcW w:w="960" w:type="dxa"/>
            <w:tcBorders>
              <w:top w:val="nil"/>
              <w:left w:val="nil"/>
              <w:bottom w:val="nil"/>
              <w:right w:val="nil"/>
            </w:tcBorders>
            <w:shd w:val="clear" w:color="000000" w:fill="E7E8F2"/>
            <w:vAlign w:val="center"/>
            <w:hideMark/>
          </w:tcPr>
          <w:p w14:paraId="29278291" w14:textId="77777777" w:rsidR="006F45DB" w:rsidRPr="005B4390" w:rsidRDefault="00EC2098" w:rsidP="005B4390">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-1.2</w:t>
            </w:r>
          </w:p>
        </w:tc>
        <w:tc>
          <w:tcPr>
            <w:tcW w:w="960" w:type="dxa"/>
            <w:tcBorders>
              <w:top w:val="nil"/>
              <w:left w:val="nil"/>
              <w:bottom w:val="nil"/>
              <w:right w:val="nil"/>
            </w:tcBorders>
            <w:shd w:val="clear" w:color="000000" w:fill="E7E8F2"/>
            <w:vAlign w:val="center"/>
            <w:hideMark/>
          </w:tcPr>
          <w:p w14:paraId="6BC8BF14" w14:textId="77777777" w:rsidR="006F45DB" w:rsidRPr="005B4390" w:rsidRDefault="00EC2098" w:rsidP="005B4390">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3.6</w:t>
            </w:r>
          </w:p>
        </w:tc>
        <w:tc>
          <w:tcPr>
            <w:tcW w:w="960" w:type="dxa"/>
            <w:tcBorders>
              <w:top w:val="nil"/>
              <w:left w:val="nil"/>
              <w:bottom w:val="nil"/>
              <w:right w:val="nil"/>
            </w:tcBorders>
            <w:shd w:val="clear" w:color="000000" w:fill="E7E8F2"/>
            <w:vAlign w:val="center"/>
            <w:hideMark/>
          </w:tcPr>
          <w:p w14:paraId="0F574A45" w14:textId="77777777" w:rsidR="006F45DB" w:rsidRPr="005B4390" w:rsidRDefault="00EC2098" w:rsidP="005B4390">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3.0</w:t>
            </w:r>
          </w:p>
        </w:tc>
        <w:tc>
          <w:tcPr>
            <w:tcW w:w="960" w:type="dxa"/>
            <w:tcBorders>
              <w:top w:val="nil"/>
              <w:left w:val="nil"/>
              <w:bottom w:val="nil"/>
              <w:right w:val="nil"/>
            </w:tcBorders>
            <w:shd w:val="clear" w:color="000000" w:fill="E7E8F2"/>
            <w:vAlign w:val="center"/>
            <w:hideMark/>
          </w:tcPr>
          <w:p w14:paraId="22C8F10A" w14:textId="77777777" w:rsidR="006F45DB" w:rsidRPr="005B4390" w:rsidRDefault="00EC2098" w:rsidP="005B4390">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1.1</w:t>
            </w:r>
          </w:p>
        </w:tc>
        <w:tc>
          <w:tcPr>
            <w:tcW w:w="960" w:type="dxa"/>
            <w:tcBorders>
              <w:top w:val="nil"/>
              <w:left w:val="nil"/>
              <w:bottom w:val="nil"/>
              <w:right w:val="nil"/>
            </w:tcBorders>
            <w:shd w:val="clear" w:color="000000" w:fill="E7E8F2"/>
            <w:vAlign w:val="center"/>
            <w:hideMark/>
          </w:tcPr>
          <w:p w14:paraId="11D3DA69" w14:textId="77777777" w:rsidR="006F45DB" w:rsidRPr="005B4390" w:rsidRDefault="00EC2098" w:rsidP="005B4390">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1.6</w:t>
            </w:r>
          </w:p>
        </w:tc>
      </w:tr>
      <w:tr w:rsidR="009F2941" w14:paraId="63694912" w14:textId="77777777" w:rsidTr="00475785">
        <w:trPr>
          <w:trHeight w:val="310"/>
        </w:trPr>
        <w:tc>
          <w:tcPr>
            <w:tcW w:w="4420" w:type="dxa"/>
            <w:tcBorders>
              <w:top w:val="nil"/>
              <w:left w:val="nil"/>
              <w:bottom w:val="nil"/>
              <w:right w:val="nil"/>
            </w:tcBorders>
            <w:shd w:val="clear" w:color="000000" w:fill="E7E8F2"/>
            <w:vAlign w:val="center"/>
            <w:hideMark/>
          </w:tcPr>
          <w:p w14:paraId="3D5A3E7B" w14:textId="77777777" w:rsidR="006F45DB" w:rsidRPr="00475785" w:rsidRDefault="00EC2098" w:rsidP="005B4390">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lang w:val="en-GB"/>
              </w:rPr>
              <w:t xml:space="preserve">Inflation </w:t>
            </w:r>
            <w:r>
              <w:rPr>
                <w:rFonts w:ascii="Verdana" w:eastAsia="Times New Roman" w:hAnsi="Verdana" w:cs="Calibri"/>
                <w:i/>
                <w:iCs/>
                <w:color w:val="000000"/>
                <w:sz w:val="20"/>
                <w:szCs w:val="20"/>
                <w:lang w:val="en-GB"/>
              </w:rPr>
              <w:t>(year-end)</w:t>
            </w:r>
          </w:p>
        </w:tc>
        <w:tc>
          <w:tcPr>
            <w:tcW w:w="960" w:type="dxa"/>
            <w:tcBorders>
              <w:top w:val="nil"/>
              <w:left w:val="nil"/>
              <w:bottom w:val="nil"/>
              <w:right w:val="nil"/>
            </w:tcBorders>
            <w:shd w:val="clear" w:color="000000" w:fill="E7E8F2"/>
            <w:vAlign w:val="center"/>
            <w:hideMark/>
          </w:tcPr>
          <w:p w14:paraId="4A1BD351" w14:textId="77777777" w:rsidR="006F45DB" w:rsidRPr="005B4390" w:rsidRDefault="00EC2098" w:rsidP="005B4390">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11.9</w:t>
            </w:r>
          </w:p>
        </w:tc>
        <w:tc>
          <w:tcPr>
            <w:tcW w:w="960" w:type="dxa"/>
            <w:tcBorders>
              <w:top w:val="nil"/>
              <w:left w:val="nil"/>
              <w:bottom w:val="nil"/>
              <w:right w:val="nil"/>
            </w:tcBorders>
            <w:shd w:val="clear" w:color="000000" w:fill="E7E8F2"/>
            <w:vAlign w:val="center"/>
            <w:hideMark/>
          </w:tcPr>
          <w:p w14:paraId="2886B414" w14:textId="77777777" w:rsidR="006F45DB" w:rsidRPr="005B4390" w:rsidRDefault="00EC2098" w:rsidP="005B4390">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7.4</w:t>
            </w:r>
          </w:p>
        </w:tc>
        <w:tc>
          <w:tcPr>
            <w:tcW w:w="960" w:type="dxa"/>
            <w:tcBorders>
              <w:top w:val="nil"/>
              <w:left w:val="nil"/>
              <w:bottom w:val="nil"/>
              <w:right w:val="nil"/>
            </w:tcBorders>
            <w:shd w:val="clear" w:color="000000" w:fill="E7E8F2"/>
            <w:vAlign w:val="center"/>
            <w:hideMark/>
          </w:tcPr>
          <w:p w14:paraId="52B71B16" w14:textId="77777777" w:rsidR="006F45DB" w:rsidRPr="005B4390" w:rsidRDefault="00EC2098" w:rsidP="005B4390">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5.8</w:t>
            </w:r>
          </w:p>
        </w:tc>
        <w:tc>
          <w:tcPr>
            <w:tcW w:w="960" w:type="dxa"/>
            <w:tcBorders>
              <w:top w:val="nil"/>
              <w:left w:val="nil"/>
              <w:bottom w:val="nil"/>
              <w:right w:val="nil"/>
            </w:tcBorders>
            <w:shd w:val="clear" w:color="000000" w:fill="E7E8F2"/>
            <w:vAlign w:val="center"/>
            <w:hideMark/>
          </w:tcPr>
          <w:p w14:paraId="55970132" w14:textId="77777777" w:rsidR="006F45DB" w:rsidRPr="005B4390" w:rsidRDefault="00EC2098" w:rsidP="005B4390">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4.7</w:t>
            </w:r>
          </w:p>
        </w:tc>
        <w:tc>
          <w:tcPr>
            <w:tcW w:w="960" w:type="dxa"/>
            <w:tcBorders>
              <w:top w:val="nil"/>
              <w:left w:val="nil"/>
              <w:bottom w:val="nil"/>
              <w:right w:val="nil"/>
            </w:tcBorders>
            <w:shd w:val="clear" w:color="000000" w:fill="E7E8F2"/>
            <w:vAlign w:val="center"/>
            <w:hideMark/>
          </w:tcPr>
          <w:p w14:paraId="1D15ABB7" w14:textId="77777777" w:rsidR="006F45DB" w:rsidRPr="005B4390" w:rsidRDefault="00EC2098" w:rsidP="005B4390">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4.1</w:t>
            </w:r>
          </w:p>
        </w:tc>
      </w:tr>
      <w:tr w:rsidR="009F2941" w14:paraId="4C163311" w14:textId="77777777" w:rsidTr="00475785">
        <w:trPr>
          <w:trHeight w:val="310"/>
        </w:trPr>
        <w:tc>
          <w:tcPr>
            <w:tcW w:w="4420" w:type="dxa"/>
            <w:tcBorders>
              <w:top w:val="nil"/>
              <w:left w:val="nil"/>
              <w:bottom w:val="nil"/>
              <w:right w:val="nil"/>
            </w:tcBorders>
            <w:shd w:val="clear" w:color="000000" w:fill="E7E8F2"/>
            <w:vAlign w:val="center"/>
            <w:hideMark/>
          </w:tcPr>
          <w:p w14:paraId="59251D37" w14:textId="77777777" w:rsidR="006F45DB" w:rsidRPr="00475785" w:rsidRDefault="00EC2098" w:rsidP="005B4390">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lang w:val="en-GB"/>
              </w:rPr>
              <w:t>Key rate (year’s average), %</w:t>
            </w:r>
          </w:p>
        </w:tc>
        <w:tc>
          <w:tcPr>
            <w:tcW w:w="960" w:type="dxa"/>
            <w:tcBorders>
              <w:top w:val="nil"/>
              <w:left w:val="nil"/>
              <w:bottom w:val="nil"/>
              <w:right w:val="nil"/>
            </w:tcBorders>
            <w:shd w:val="clear" w:color="000000" w:fill="E7E8F2"/>
            <w:vAlign w:val="center"/>
            <w:hideMark/>
          </w:tcPr>
          <w:p w14:paraId="7FDEB379" w14:textId="77777777" w:rsidR="006F45DB" w:rsidRPr="005B4390" w:rsidRDefault="00EC2098" w:rsidP="005B4390">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10.6</w:t>
            </w:r>
          </w:p>
        </w:tc>
        <w:tc>
          <w:tcPr>
            <w:tcW w:w="960" w:type="dxa"/>
            <w:tcBorders>
              <w:top w:val="nil"/>
              <w:left w:val="nil"/>
              <w:bottom w:val="nil"/>
              <w:right w:val="nil"/>
            </w:tcBorders>
            <w:shd w:val="clear" w:color="000000" w:fill="E7E8F2"/>
            <w:vAlign w:val="center"/>
            <w:hideMark/>
          </w:tcPr>
          <w:p w14:paraId="1D9829C3" w14:textId="77777777" w:rsidR="006F45DB" w:rsidRPr="005B4390" w:rsidRDefault="00EC2098" w:rsidP="005B4390">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9.9</w:t>
            </w:r>
          </w:p>
        </w:tc>
        <w:tc>
          <w:tcPr>
            <w:tcW w:w="960" w:type="dxa"/>
            <w:tcBorders>
              <w:top w:val="nil"/>
              <w:left w:val="nil"/>
              <w:bottom w:val="nil"/>
              <w:right w:val="nil"/>
            </w:tcBorders>
            <w:shd w:val="clear" w:color="000000" w:fill="E7E8F2"/>
            <w:vAlign w:val="center"/>
            <w:hideMark/>
          </w:tcPr>
          <w:p w14:paraId="7186DA9B" w14:textId="77777777" w:rsidR="006F45DB" w:rsidRPr="005B4390" w:rsidRDefault="00EC2098" w:rsidP="005B4390">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15.8</w:t>
            </w:r>
          </w:p>
        </w:tc>
        <w:tc>
          <w:tcPr>
            <w:tcW w:w="960" w:type="dxa"/>
            <w:tcBorders>
              <w:top w:val="nil"/>
              <w:left w:val="nil"/>
              <w:bottom w:val="nil"/>
              <w:right w:val="nil"/>
            </w:tcBorders>
            <w:shd w:val="clear" w:color="000000" w:fill="E7E8F2"/>
            <w:vAlign w:val="center"/>
            <w:hideMark/>
          </w:tcPr>
          <w:p w14:paraId="5D7D520F" w14:textId="77777777" w:rsidR="006F45DB" w:rsidRPr="005B4390" w:rsidRDefault="00EC2098" w:rsidP="005B4390">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12.5</w:t>
            </w:r>
          </w:p>
        </w:tc>
        <w:tc>
          <w:tcPr>
            <w:tcW w:w="960" w:type="dxa"/>
            <w:tcBorders>
              <w:top w:val="nil"/>
              <w:left w:val="nil"/>
              <w:bottom w:val="nil"/>
              <w:right w:val="nil"/>
            </w:tcBorders>
            <w:shd w:val="clear" w:color="000000" w:fill="E7E8F2"/>
            <w:vAlign w:val="center"/>
            <w:hideMark/>
          </w:tcPr>
          <w:p w14:paraId="2BC1FD11" w14:textId="77777777" w:rsidR="006F45DB" w:rsidRPr="005B4390" w:rsidRDefault="00EC2098" w:rsidP="005B4390">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7.9</w:t>
            </w:r>
          </w:p>
        </w:tc>
      </w:tr>
      <w:tr w:rsidR="009F2941" w14:paraId="424FF06B" w14:textId="77777777" w:rsidTr="00475785">
        <w:trPr>
          <w:trHeight w:val="540"/>
        </w:trPr>
        <w:tc>
          <w:tcPr>
            <w:tcW w:w="4420" w:type="dxa"/>
            <w:tcBorders>
              <w:top w:val="nil"/>
              <w:left w:val="nil"/>
              <w:bottom w:val="nil"/>
              <w:right w:val="nil"/>
            </w:tcBorders>
            <w:shd w:val="clear" w:color="000000" w:fill="E7E8F2"/>
            <w:vAlign w:val="center"/>
            <w:hideMark/>
          </w:tcPr>
          <w:p w14:paraId="0AB1EE5E" w14:textId="77777777" w:rsidR="006F45DB" w:rsidRPr="00310511" w:rsidRDefault="00EC2098" w:rsidP="005B4390">
            <w:pPr>
              <w:spacing w:after="0" w:line="240" w:lineRule="auto"/>
              <w:rPr>
                <w:rFonts w:ascii="Verdana" w:eastAsia="Times New Roman" w:hAnsi="Verdana" w:cs="Calibri"/>
                <w:color w:val="000000"/>
                <w:sz w:val="20"/>
                <w:szCs w:val="20"/>
                <w:lang w:val="en-US"/>
              </w:rPr>
            </w:pPr>
            <w:r>
              <w:rPr>
                <w:rFonts w:ascii="Verdana" w:eastAsia="Times New Roman" w:hAnsi="Verdana" w:cs="Calibri"/>
                <w:color w:val="000000"/>
                <w:sz w:val="20"/>
                <w:szCs w:val="20"/>
                <w:lang w:val="en-GB"/>
              </w:rPr>
              <w:t xml:space="preserve">RUB/USD exchange rate </w:t>
            </w:r>
            <w:r>
              <w:rPr>
                <w:rFonts w:ascii="Verdana" w:eastAsia="Times New Roman" w:hAnsi="Verdana" w:cs="Calibri"/>
                <w:i/>
                <w:iCs/>
                <w:color w:val="000000"/>
                <w:sz w:val="20"/>
                <w:szCs w:val="20"/>
                <w:lang w:val="en-GB"/>
              </w:rPr>
              <w:t>(year’s average)</w:t>
            </w:r>
          </w:p>
        </w:tc>
        <w:tc>
          <w:tcPr>
            <w:tcW w:w="960" w:type="dxa"/>
            <w:tcBorders>
              <w:top w:val="nil"/>
              <w:left w:val="nil"/>
              <w:bottom w:val="nil"/>
              <w:right w:val="nil"/>
            </w:tcBorders>
            <w:shd w:val="clear" w:color="000000" w:fill="E7E8F2"/>
            <w:vAlign w:val="center"/>
            <w:hideMark/>
          </w:tcPr>
          <w:p w14:paraId="671241CC" w14:textId="77777777" w:rsidR="006F45DB" w:rsidRPr="005B4390" w:rsidRDefault="00EC2098" w:rsidP="005B4390">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68.5</w:t>
            </w:r>
          </w:p>
        </w:tc>
        <w:tc>
          <w:tcPr>
            <w:tcW w:w="960" w:type="dxa"/>
            <w:tcBorders>
              <w:top w:val="nil"/>
              <w:left w:val="nil"/>
              <w:bottom w:val="nil"/>
              <w:right w:val="nil"/>
            </w:tcBorders>
            <w:shd w:val="clear" w:color="000000" w:fill="E7E8F2"/>
            <w:vAlign w:val="center"/>
            <w:hideMark/>
          </w:tcPr>
          <w:p w14:paraId="42730B0C" w14:textId="77777777" w:rsidR="006F45DB" w:rsidRPr="005B4390" w:rsidRDefault="00EC2098" w:rsidP="005B4390">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85.2</w:t>
            </w:r>
          </w:p>
        </w:tc>
        <w:tc>
          <w:tcPr>
            <w:tcW w:w="960" w:type="dxa"/>
            <w:tcBorders>
              <w:top w:val="nil"/>
              <w:left w:val="nil"/>
              <w:bottom w:val="nil"/>
              <w:right w:val="nil"/>
            </w:tcBorders>
            <w:shd w:val="clear" w:color="000000" w:fill="E7E8F2"/>
            <w:vAlign w:val="center"/>
            <w:hideMark/>
          </w:tcPr>
          <w:p w14:paraId="527BA054" w14:textId="77777777" w:rsidR="006F45DB" w:rsidRPr="005B4390" w:rsidRDefault="00EC2098" w:rsidP="00773716">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92.8</w:t>
            </w:r>
          </w:p>
        </w:tc>
        <w:tc>
          <w:tcPr>
            <w:tcW w:w="960" w:type="dxa"/>
            <w:tcBorders>
              <w:top w:val="nil"/>
              <w:left w:val="nil"/>
              <w:bottom w:val="nil"/>
              <w:right w:val="nil"/>
            </w:tcBorders>
            <w:shd w:val="clear" w:color="000000" w:fill="E7E8F2"/>
            <w:vAlign w:val="center"/>
            <w:hideMark/>
          </w:tcPr>
          <w:p w14:paraId="6BC28F9A" w14:textId="77777777" w:rsidR="006F45DB" w:rsidRPr="005B4390" w:rsidRDefault="00EC2098" w:rsidP="005B4390">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96.7</w:t>
            </w:r>
          </w:p>
        </w:tc>
        <w:tc>
          <w:tcPr>
            <w:tcW w:w="960" w:type="dxa"/>
            <w:tcBorders>
              <w:top w:val="nil"/>
              <w:left w:val="nil"/>
              <w:bottom w:val="nil"/>
              <w:right w:val="nil"/>
            </w:tcBorders>
            <w:shd w:val="clear" w:color="000000" w:fill="E7E8F2"/>
            <w:vAlign w:val="center"/>
            <w:hideMark/>
          </w:tcPr>
          <w:p w14:paraId="220C0607" w14:textId="77777777" w:rsidR="006F45DB" w:rsidRPr="005B4390" w:rsidRDefault="00EC2098" w:rsidP="005B4390">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98.4</w:t>
            </w:r>
          </w:p>
        </w:tc>
      </w:tr>
      <w:tr w:rsidR="009F2941" w14:paraId="6759D02F" w14:textId="77777777" w:rsidTr="00475785">
        <w:trPr>
          <w:trHeight w:val="290"/>
        </w:trPr>
        <w:tc>
          <w:tcPr>
            <w:tcW w:w="8260" w:type="dxa"/>
            <w:gridSpan w:val="5"/>
            <w:tcBorders>
              <w:top w:val="nil"/>
              <w:left w:val="nil"/>
              <w:bottom w:val="nil"/>
              <w:right w:val="nil"/>
            </w:tcBorders>
            <w:shd w:val="clear" w:color="000000" w:fill="CBCDE3"/>
            <w:vAlign w:val="center"/>
            <w:hideMark/>
          </w:tcPr>
          <w:p w14:paraId="0FC7035A" w14:textId="77777777" w:rsidR="006F45DB" w:rsidRPr="00475785" w:rsidRDefault="00EC2098" w:rsidP="00475785">
            <w:pPr>
              <w:spacing w:after="0" w:line="240" w:lineRule="auto"/>
              <w:jc w:val="center"/>
              <w:rPr>
                <w:rFonts w:ascii="Verdana" w:eastAsia="Times New Roman" w:hAnsi="Verdana" w:cs="Calibri"/>
                <w:b/>
                <w:bCs/>
                <w:color w:val="000000"/>
                <w:sz w:val="20"/>
                <w:szCs w:val="20"/>
              </w:rPr>
            </w:pPr>
            <w:r>
              <w:rPr>
                <w:rFonts w:ascii="Verdana" w:eastAsia="Times New Roman" w:hAnsi="Verdana" w:cs="Calibri"/>
                <w:b/>
                <w:bCs/>
                <w:color w:val="000000"/>
                <w:sz w:val="20"/>
                <w:szCs w:val="20"/>
                <w:lang w:val="en-GB"/>
              </w:rPr>
              <w:t>Tajikistan</w:t>
            </w:r>
          </w:p>
        </w:tc>
        <w:tc>
          <w:tcPr>
            <w:tcW w:w="960" w:type="dxa"/>
            <w:tcBorders>
              <w:top w:val="nil"/>
              <w:left w:val="nil"/>
              <w:bottom w:val="nil"/>
              <w:right w:val="nil"/>
            </w:tcBorders>
            <w:shd w:val="clear" w:color="000000" w:fill="CBCDE3"/>
            <w:vAlign w:val="center"/>
            <w:hideMark/>
          </w:tcPr>
          <w:p w14:paraId="60D85C4D" w14:textId="77777777" w:rsidR="006F45DB" w:rsidRPr="00475785" w:rsidRDefault="00EC2098" w:rsidP="00475785">
            <w:pPr>
              <w:spacing w:after="0" w:line="240" w:lineRule="auto"/>
              <w:jc w:val="center"/>
              <w:rPr>
                <w:rFonts w:ascii="Verdana" w:eastAsia="Times New Roman" w:hAnsi="Verdana" w:cs="Calibri"/>
                <w:b/>
                <w:bCs/>
                <w:color w:val="000000"/>
                <w:sz w:val="20"/>
                <w:szCs w:val="20"/>
              </w:rPr>
            </w:pPr>
            <w:r>
              <w:rPr>
                <w:rFonts w:ascii="Verdana" w:eastAsia="Times New Roman" w:hAnsi="Verdana" w:cs="Calibri"/>
                <w:b/>
                <w:bCs/>
                <w:color w:val="000000"/>
                <w:sz w:val="20"/>
                <w:szCs w:val="20"/>
                <w:lang w:val="en-GB"/>
              </w:rPr>
              <w:t> </w:t>
            </w:r>
          </w:p>
        </w:tc>
      </w:tr>
      <w:tr w:rsidR="009F2941" w14:paraId="47FF78D2" w14:textId="77777777" w:rsidTr="00475785">
        <w:trPr>
          <w:trHeight w:val="310"/>
        </w:trPr>
        <w:tc>
          <w:tcPr>
            <w:tcW w:w="4420" w:type="dxa"/>
            <w:tcBorders>
              <w:top w:val="nil"/>
              <w:left w:val="nil"/>
              <w:bottom w:val="nil"/>
              <w:right w:val="nil"/>
            </w:tcBorders>
            <w:shd w:val="clear" w:color="000000" w:fill="E7E8F2"/>
            <w:vAlign w:val="center"/>
            <w:hideMark/>
          </w:tcPr>
          <w:p w14:paraId="7B948F96" w14:textId="77777777" w:rsidR="006F45DB" w:rsidRPr="00475785" w:rsidRDefault="00EC2098" w:rsidP="00475785">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lang w:val="en-GB"/>
              </w:rPr>
              <w:t>GDP in comparable prices</w:t>
            </w:r>
          </w:p>
        </w:tc>
        <w:tc>
          <w:tcPr>
            <w:tcW w:w="960" w:type="dxa"/>
            <w:tcBorders>
              <w:top w:val="nil"/>
              <w:left w:val="nil"/>
              <w:bottom w:val="nil"/>
              <w:right w:val="nil"/>
            </w:tcBorders>
            <w:shd w:val="clear" w:color="000000" w:fill="E7E8F2"/>
            <w:vAlign w:val="center"/>
            <w:hideMark/>
          </w:tcPr>
          <w:p w14:paraId="0D5558A5"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8.0</w:t>
            </w:r>
          </w:p>
        </w:tc>
        <w:tc>
          <w:tcPr>
            <w:tcW w:w="960" w:type="dxa"/>
            <w:tcBorders>
              <w:top w:val="nil"/>
              <w:left w:val="nil"/>
              <w:bottom w:val="nil"/>
              <w:right w:val="nil"/>
            </w:tcBorders>
            <w:shd w:val="clear" w:color="000000" w:fill="E7E8F2"/>
            <w:vAlign w:val="center"/>
            <w:hideMark/>
          </w:tcPr>
          <w:p w14:paraId="1E365BD4"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8.3</w:t>
            </w:r>
          </w:p>
        </w:tc>
        <w:tc>
          <w:tcPr>
            <w:tcW w:w="960" w:type="dxa"/>
            <w:tcBorders>
              <w:top w:val="nil"/>
              <w:left w:val="nil"/>
              <w:bottom w:val="nil"/>
              <w:right w:val="nil"/>
            </w:tcBorders>
            <w:shd w:val="clear" w:color="000000" w:fill="E7E8F2"/>
            <w:vAlign w:val="center"/>
            <w:hideMark/>
          </w:tcPr>
          <w:p w14:paraId="266D9C19"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8.0</w:t>
            </w:r>
          </w:p>
        </w:tc>
        <w:tc>
          <w:tcPr>
            <w:tcW w:w="960" w:type="dxa"/>
            <w:tcBorders>
              <w:top w:val="nil"/>
              <w:left w:val="nil"/>
              <w:bottom w:val="nil"/>
              <w:right w:val="nil"/>
            </w:tcBorders>
            <w:shd w:val="clear" w:color="000000" w:fill="E7E8F2"/>
            <w:vAlign w:val="center"/>
            <w:hideMark/>
          </w:tcPr>
          <w:p w14:paraId="560A3AE1"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8.2</w:t>
            </w:r>
          </w:p>
        </w:tc>
        <w:tc>
          <w:tcPr>
            <w:tcW w:w="960" w:type="dxa"/>
            <w:tcBorders>
              <w:top w:val="nil"/>
              <w:left w:val="nil"/>
              <w:bottom w:val="nil"/>
              <w:right w:val="nil"/>
            </w:tcBorders>
            <w:shd w:val="clear" w:color="000000" w:fill="E7E8F2"/>
            <w:vAlign w:val="center"/>
            <w:hideMark/>
          </w:tcPr>
          <w:p w14:paraId="6181B4BC"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7.8</w:t>
            </w:r>
          </w:p>
        </w:tc>
      </w:tr>
      <w:tr w:rsidR="009F2941" w14:paraId="266B7E19" w14:textId="77777777" w:rsidTr="00475785">
        <w:trPr>
          <w:trHeight w:val="310"/>
        </w:trPr>
        <w:tc>
          <w:tcPr>
            <w:tcW w:w="4420" w:type="dxa"/>
            <w:tcBorders>
              <w:top w:val="nil"/>
              <w:left w:val="nil"/>
              <w:bottom w:val="nil"/>
              <w:right w:val="nil"/>
            </w:tcBorders>
            <w:shd w:val="clear" w:color="000000" w:fill="E7E8F2"/>
            <w:vAlign w:val="center"/>
            <w:hideMark/>
          </w:tcPr>
          <w:p w14:paraId="2ECAF90A" w14:textId="77777777" w:rsidR="006F45DB" w:rsidRPr="00475785" w:rsidRDefault="00EC2098" w:rsidP="00475785">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lang w:val="en-GB"/>
              </w:rPr>
              <w:t xml:space="preserve">Inflation </w:t>
            </w:r>
            <w:r>
              <w:rPr>
                <w:rFonts w:ascii="Verdana" w:eastAsia="Times New Roman" w:hAnsi="Verdana" w:cs="Calibri"/>
                <w:i/>
                <w:iCs/>
                <w:color w:val="000000"/>
                <w:sz w:val="20"/>
                <w:szCs w:val="20"/>
                <w:lang w:val="en-GB"/>
              </w:rPr>
              <w:t>(year-end)</w:t>
            </w:r>
          </w:p>
        </w:tc>
        <w:tc>
          <w:tcPr>
            <w:tcW w:w="960" w:type="dxa"/>
            <w:tcBorders>
              <w:top w:val="nil"/>
              <w:left w:val="nil"/>
              <w:bottom w:val="nil"/>
              <w:right w:val="nil"/>
            </w:tcBorders>
            <w:shd w:val="clear" w:color="000000" w:fill="E7E8F2"/>
            <w:vAlign w:val="center"/>
            <w:hideMark/>
          </w:tcPr>
          <w:p w14:paraId="3BC0CBED"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4.2</w:t>
            </w:r>
          </w:p>
        </w:tc>
        <w:tc>
          <w:tcPr>
            <w:tcW w:w="960" w:type="dxa"/>
            <w:tcBorders>
              <w:top w:val="nil"/>
              <w:left w:val="nil"/>
              <w:bottom w:val="nil"/>
              <w:right w:val="nil"/>
            </w:tcBorders>
            <w:shd w:val="clear" w:color="000000" w:fill="E7E8F2"/>
            <w:vAlign w:val="center"/>
            <w:hideMark/>
          </w:tcPr>
          <w:p w14:paraId="6E5C0E06" w14:textId="77777777" w:rsidR="006F45DB" w:rsidRPr="006760CA" w:rsidRDefault="00EC2098" w:rsidP="006760CA">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3.8</w:t>
            </w:r>
          </w:p>
        </w:tc>
        <w:tc>
          <w:tcPr>
            <w:tcW w:w="960" w:type="dxa"/>
            <w:tcBorders>
              <w:top w:val="nil"/>
              <w:left w:val="nil"/>
              <w:bottom w:val="nil"/>
              <w:right w:val="nil"/>
            </w:tcBorders>
            <w:shd w:val="clear" w:color="000000" w:fill="E7E8F2"/>
            <w:vAlign w:val="center"/>
            <w:hideMark/>
          </w:tcPr>
          <w:p w14:paraId="5C92EE98"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4.1</w:t>
            </w:r>
          </w:p>
        </w:tc>
        <w:tc>
          <w:tcPr>
            <w:tcW w:w="960" w:type="dxa"/>
            <w:tcBorders>
              <w:top w:val="nil"/>
              <w:left w:val="nil"/>
              <w:bottom w:val="nil"/>
              <w:right w:val="nil"/>
            </w:tcBorders>
            <w:shd w:val="clear" w:color="000000" w:fill="E7E8F2"/>
            <w:vAlign w:val="center"/>
            <w:hideMark/>
          </w:tcPr>
          <w:p w14:paraId="0BD82526"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6.0</w:t>
            </w:r>
          </w:p>
        </w:tc>
        <w:tc>
          <w:tcPr>
            <w:tcW w:w="960" w:type="dxa"/>
            <w:tcBorders>
              <w:top w:val="nil"/>
              <w:left w:val="nil"/>
              <w:bottom w:val="nil"/>
              <w:right w:val="nil"/>
            </w:tcBorders>
            <w:shd w:val="clear" w:color="000000" w:fill="E7E8F2"/>
            <w:vAlign w:val="center"/>
            <w:hideMark/>
          </w:tcPr>
          <w:p w14:paraId="7E15D3CE"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5.8</w:t>
            </w:r>
          </w:p>
        </w:tc>
      </w:tr>
      <w:tr w:rsidR="009F2941" w14:paraId="3802B8BC" w14:textId="77777777" w:rsidTr="00475785">
        <w:trPr>
          <w:trHeight w:val="540"/>
        </w:trPr>
        <w:tc>
          <w:tcPr>
            <w:tcW w:w="4420" w:type="dxa"/>
            <w:tcBorders>
              <w:top w:val="nil"/>
              <w:left w:val="nil"/>
              <w:bottom w:val="nil"/>
              <w:right w:val="nil"/>
            </w:tcBorders>
            <w:shd w:val="clear" w:color="000000" w:fill="E7E8F2"/>
            <w:vAlign w:val="center"/>
            <w:hideMark/>
          </w:tcPr>
          <w:p w14:paraId="04D14D18" w14:textId="77777777" w:rsidR="006F45DB" w:rsidRPr="00475785" w:rsidRDefault="00EC2098" w:rsidP="00475785">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lang w:val="en-GB"/>
              </w:rPr>
              <w:lastRenderedPageBreak/>
              <w:t>Refinancing rate (year’s average), %</w:t>
            </w:r>
          </w:p>
        </w:tc>
        <w:tc>
          <w:tcPr>
            <w:tcW w:w="960" w:type="dxa"/>
            <w:tcBorders>
              <w:top w:val="nil"/>
              <w:left w:val="nil"/>
              <w:bottom w:val="nil"/>
              <w:right w:val="nil"/>
            </w:tcBorders>
            <w:shd w:val="clear" w:color="000000" w:fill="E7E8F2"/>
            <w:vAlign w:val="center"/>
            <w:hideMark/>
          </w:tcPr>
          <w:p w14:paraId="6C87342F"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13.3</w:t>
            </w:r>
          </w:p>
        </w:tc>
        <w:tc>
          <w:tcPr>
            <w:tcW w:w="960" w:type="dxa"/>
            <w:tcBorders>
              <w:top w:val="nil"/>
              <w:left w:val="nil"/>
              <w:bottom w:val="nil"/>
              <w:right w:val="nil"/>
            </w:tcBorders>
            <w:shd w:val="clear" w:color="000000" w:fill="E7E8F2"/>
            <w:vAlign w:val="center"/>
            <w:hideMark/>
          </w:tcPr>
          <w:p w14:paraId="19E9DE32"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10.5</w:t>
            </w:r>
          </w:p>
        </w:tc>
        <w:tc>
          <w:tcPr>
            <w:tcW w:w="960" w:type="dxa"/>
            <w:tcBorders>
              <w:top w:val="nil"/>
              <w:left w:val="nil"/>
              <w:bottom w:val="nil"/>
              <w:right w:val="nil"/>
            </w:tcBorders>
            <w:shd w:val="clear" w:color="000000" w:fill="E7E8F2"/>
            <w:vAlign w:val="center"/>
            <w:hideMark/>
          </w:tcPr>
          <w:p w14:paraId="3BFDE607"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9.3</w:t>
            </w:r>
          </w:p>
        </w:tc>
        <w:tc>
          <w:tcPr>
            <w:tcW w:w="960" w:type="dxa"/>
            <w:tcBorders>
              <w:top w:val="nil"/>
              <w:left w:val="nil"/>
              <w:bottom w:val="nil"/>
              <w:right w:val="nil"/>
            </w:tcBorders>
            <w:shd w:val="clear" w:color="000000" w:fill="E7E8F2"/>
            <w:vAlign w:val="center"/>
            <w:hideMark/>
          </w:tcPr>
          <w:p w14:paraId="166E676C"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9.7</w:t>
            </w:r>
          </w:p>
        </w:tc>
        <w:tc>
          <w:tcPr>
            <w:tcW w:w="960" w:type="dxa"/>
            <w:tcBorders>
              <w:top w:val="nil"/>
              <w:left w:val="nil"/>
              <w:bottom w:val="nil"/>
              <w:right w:val="nil"/>
            </w:tcBorders>
            <w:shd w:val="clear" w:color="000000" w:fill="E7E8F2"/>
            <w:vAlign w:val="center"/>
            <w:hideMark/>
          </w:tcPr>
          <w:p w14:paraId="24825BA6"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9.8</w:t>
            </w:r>
          </w:p>
        </w:tc>
      </w:tr>
      <w:tr w:rsidR="009F2941" w14:paraId="17570A3B" w14:textId="77777777" w:rsidTr="00475785">
        <w:trPr>
          <w:trHeight w:val="310"/>
        </w:trPr>
        <w:tc>
          <w:tcPr>
            <w:tcW w:w="4420" w:type="dxa"/>
            <w:tcBorders>
              <w:top w:val="nil"/>
              <w:left w:val="nil"/>
              <w:bottom w:val="nil"/>
              <w:right w:val="nil"/>
            </w:tcBorders>
            <w:shd w:val="clear" w:color="000000" w:fill="E7E8F2"/>
            <w:vAlign w:val="center"/>
            <w:hideMark/>
          </w:tcPr>
          <w:p w14:paraId="5B75DE6F" w14:textId="77777777" w:rsidR="006F45DB" w:rsidRPr="00310511" w:rsidRDefault="00EC2098" w:rsidP="00475785">
            <w:pPr>
              <w:spacing w:after="0" w:line="240" w:lineRule="auto"/>
              <w:rPr>
                <w:rFonts w:ascii="Verdana" w:eastAsia="Times New Roman" w:hAnsi="Verdana" w:cs="Calibri"/>
                <w:color w:val="000000"/>
                <w:sz w:val="20"/>
                <w:szCs w:val="20"/>
                <w:lang w:val="en-US"/>
              </w:rPr>
            </w:pPr>
            <w:r>
              <w:rPr>
                <w:rFonts w:ascii="Verdana" w:eastAsia="Times New Roman" w:hAnsi="Verdana" w:cs="Calibri"/>
                <w:color w:val="000000"/>
                <w:sz w:val="20"/>
                <w:szCs w:val="20"/>
                <w:lang w:val="en-GB"/>
              </w:rPr>
              <w:t xml:space="preserve">TJS/USD exchange rate </w:t>
            </w:r>
            <w:r>
              <w:rPr>
                <w:rFonts w:ascii="Verdana" w:eastAsia="Times New Roman" w:hAnsi="Verdana" w:cs="Calibri"/>
                <w:i/>
                <w:iCs/>
                <w:color w:val="000000"/>
                <w:sz w:val="20"/>
                <w:szCs w:val="20"/>
                <w:lang w:val="en-GB"/>
              </w:rPr>
              <w:t>(year’s average)</w:t>
            </w:r>
          </w:p>
        </w:tc>
        <w:tc>
          <w:tcPr>
            <w:tcW w:w="960" w:type="dxa"/>
            <w:tcBorders>
              <w:top w:val="nil"/>
              <w:left w:val="nil"/>
              <w:bottom w:val="nil"/>
              <w:right w:val="nil"/>
            </w:tcBorders>
            <w:shd w:val="clear" w:color="000000" w:fill="E7E8F2"/>
            <w:vAlign w:val="center"/>
            <w:hideMark/>
          </w:tcPr>
          <w:p w14:paraId="53E335DE"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11.0</w:t>
            </w:r>
          </w:p>
        </w:tc>
        <w:tc>
          <w:tcPr>
            <w:tcW w:w="960" w:type="dxa"/>
            <w:tcBorders>
              <w:top w:val="nil"/>
              <w:left w:val="nil"/>
              <w:bottom w:val="nil"/>
              <w:right w:val="nil"/>
            </w:tcBorders>
            <w:shd w:val="clear" w:color="000000" w:fill="E7E8F2"/>
            <w:vAlign w:val="center"/>
            <w:hideMark/>
          </w:tcPr>
          <w:p w14:paraId="4E9674EB"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10.8</w:t>
            </w:r>
          </w:p>
        </w:tc>
        <w:tc>
          <w:tcPr>
            <w:tcW w:w="960" w:type="dxa"/>
            <w:tcBorders>
              <w:top w:val="nil"/>
              <w:left w:val="nil"/>
              <w:bottom w:val="nil"/>
              <w:right w:val="nil"/>
            </w:tcBorders>
            <w:shd w:val="clear" w:color="000000" w:fill="E7E8F2"/>
            <w:vAlign w:val="center"/>
            <w:hideMark/>
          </w:tcPr>
          <w:p w14:paraId="7D102B17"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10.9</w:t>
            </w:r>
          </w:p>
        </w:tc>
        <w:tc>
          <w:tcPr>
            <w:tcW w:w="960" w:type="dxa"/>
            <w:tcBorders>
              <w:top w:val="nil"/>
              <w:left w:val="nil"/>
              <w:bottom w:val="nil"/>
              <w:right w:val="nil"/>
            </w:tcBorders>
            <w:shd w:val="clear" w:color="000000" w:fill="E7E8F2"/>
            <w:vAlign w:val="center"/>
            <w:hideMark/>
          </w:tcPr>
          <w:p w14:paraId="70521BBF"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11.1</w:t>
            </w:r>
          </w:p>
        </w:tc>
        <w:tc>
          <w:tcPr>
            <w:tcW w:w="960" w:type="dxa"/>
            <w:tcBorders>
              <w:top w:val="nil"/>
              <w:left w:val="nil"/>
              <w:bottom w:val="nil"/>
              <w:right w:val="nil"/>
            </w:tcBorders>
            <w:shd w:val="clear" w:color="000000" w:fill="E7E8F2"/>
            <w:vAlign w:val="center"/>
            <w:hideMark/>
          </w:tcPr>
          <w:p w14:paraId="18FF5B1C" w14:textId="77777777" w:rsidR="006F45DB" w:rsidRPr="00475785" w:rsidRDefault="00EC2098" w:rsidP="00475785">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lang w:val="en-GB"/>
              </w:rPr>
              <w:t>11.4</w:t>
            </w:r>
          </w:p>
        </w:tc>
      </w:tr>
      <w:tr w:rsidR="009F2941" w:rsidRPr="00F74EA3" w14:paraId="30CA51B9" w14:textId="77777777" w:rsidTr="00475785">
        <w:trPr>
          <w:trHeight w:val="530"/>
        </w:trPr>
        <w:tc>
          <w:tcPr>
            <w:tcW w:w="9220" w:type="dxa"/>
            <w:gridSpan w:val="6"/>
            <w:tcBorders>
              <w:top w:val="nil"/>
              <w:left w:val="nil"/>
              <w:bottom w:val="nil"/>
              <w:right w:val="nil"/>
            </w:tcBorders>
            <w:shd w:val="clear" w:color="auto" w:fill="auto"/>
            <w:vAlign w:val="center"/>
            <w:hideMark/>
          </w:tcPr>
          <w:p w14:paraId="013030BC" w14:textId="77777777" w:rsidR="006F45DB" w:rsidRPr="00310511" w:rsidRDefault="00EC2098" w:rsidP="00475785">
            <w:pPr>
              <w:spacing w:after="0" w:line="240" w:lineRule="auto"/>
              <w:rPr>
                <w:rFonts w:ascii="Verdana" w:eastAsia="Times New Roman" w:hAnsi="Verdana" w:cs="Calibri"/>
                <w:bCs/>
                <w:color w:val="000000"/>
                <w:sz w:val="20"/>
                <w:szCs w:val="20"/>
                <w:lang w:val="en-US"/>
              </w:rPr>
            </w:pPr>
            <w:r>
              <w:rPr>
                <w:rFonts w:ascii="Verdana" w:eastAsia="Times New Roman" w:hAnsi="Verdana" w:cs="Calibri"/>
                <w:color w:val="000000"/>
                <w:sz w:val="20"/>
                <w:szCs w:val="20"/>
                <w:lang w:val="en-GB"/>
              </w:rPr>
              <w:t xml:space="preserve">Note: “F” – forecast; GDP and inflation </w:t>
            </w:r>
            <w:proofErr w:type="gramStart"/>
            <w:r>
              <w:rPr>
                <w:rFonts w:ascii="Verdana" w:eastAsia="Times New Roman" w:hAnsi="Verdana" w:cs="Calibri"/>
                <w:color w:val="000000"/>
                <w:sz w:val="20"/>
                <w:szCs w:val="20"/>
                <w:lang w:val="en-GB"/>
              </w:rPr>
              <w:t>are measured</w:t>
            </w:r>
            <w:proofErr w:type="gramEnd"/>
            <w:r>
              <w:rPr>
                <w:rFonts w:ascii="Verdana" w:eastAsia="Times New Roman" w:hAnsi="Verdana" w:cs="Calibri"/>
                <w:color w:val="000000"/>
                <w:sz w:val="20"/>
                <w:szCs w:val="20"/>
                <w:lang w:val="en-GB"/>
              </w:rPr>
              <w:t xml:space="preserve"> in % year-on-year; the exchange rate is in national currency units per U.S. dollar.</w:t>
            </w:r>
          </w:p>
        </w:tc>
      </w:tr>
      <w:tr w:rsidR="009F2941" w:rsidRPr="00F74EA3" w14:paraId="177329FF" w14:textId="77777777" w:rsidTr="00475785">
        <w:trPr>
          <w:trHeight w:val="600"/>
        </w:trPr>
        <w:tc>
          <w:tcPr>
            <w:tcW w:w="9220" w:type="dxa"/>
            <w:gridSpan w:val="6"/>
            <w:tcBorders>
              <w:top w:val="nil"/>
              <w:left w:val="nil"/>
              <w:bottom w:val="nil"/>
              <w:right w:val="nil"/>
            </w:tcBorders>
            <w:shd w:val="clear" w:color="auto" w:fill="auto"/>
            <w:vAlign w:val="center"/>
            <w:hideMark/>
          </w:tcPr>
          <w:p w14:paraId="5CADED3D" w14:textId="77777777" w:rsidR="006F45DB" w:rsidRPr="00310511" w:rsidRDefault="00EC2098" w:rsidP="00475785">
            <w:pPr>
              <w:spacing w:after="0" w:line="240" w:lineRule="auto"/>
              <w:rPr>
                <w:rFonts w:ascii="Verdana" w:eastAsia="Times New Roman" w:hAnsi="Verdana" w:cs="Calibri"/>
                <w:bCs/>
                <w:i/>
                <w:iCs/>
                <w:color w:val="000000"/>
                <w:sz w:val="20"/>
                <w:szCs w:val="20"/>
                <w:lang w:val="en-US"/>
              </w:rPr>
            </w:pPr>
            <w:r>
              <w:rPr>
                <w:rFonts w:ascii="Verdana" w:eastAsia="Times New Roman" w:hAnsi="Verdana" w:cs="Calibri"/>
                <w:i/>
                <w:iCs/>
                <w:color w:val="000000"/>
                <w:sz w:val="20"/>
                <w:szCs w:val="20"/>
                <w:lang w:val="en-GB"/>
              </w:rPr>
              <w:t>Sources: national agencies of the EDB member states, EDB analysts’ calculations.</w:t>
            </w:r>
          </w:p>
        </w:tc>
      </w:tr>
    </w:tbl>
    <w:p w14:paraId="381EDBED" w14:textId="77777777" w:rsidR="006F45DB" w:rsidRPr="00310511" w:rsidRDefault="00EC2098" w:rsidP="00922160">
      <w:pPr>
        <w:spacing w:after="0" w:line="240" w:lineRule="auto"/>
        <w:jc w:val="both"/>
        <w:rPr>
          <w:rFonts w:ascii="Verdana" w:hAnsi="Verdana" w:cs="Arial"/>
          <w:sz w:val="20"/>
          <w:szCs w:val="20"/>
          <w:lang w:val="en-US"/>
        </w:rPr>
      </w:pPr>
      <w:r>
        <w:rPr>
          <w:rFonts w:ascii="Verdana" w:hAnsi="Verdana" w:cs="Arial"/>
          <w:sz w:val="20"/>
          <w:szCs w:val="20"/>
          <w:lang w:val="en-GB"/>
        </w:rPr>
        <w:fldChar w:fldCharType="end"/>
      </w:r>
      <w:r>
        <w:rPr>
          <w:rFonts w:ascii="Verdana" w:hAnsi="Verdana" w:cs="Arial"/>
          <w:sz w:val="20"/>
          <w:szCs w:val="20"/>
          <w:lang w:val="en-GB"/>
        </w:rPr>
        <w:t xml:space="preserve">The Macroeconomic Outlook is available on the Bank’s </w:t>
      </w:r>
      <w:hyperlink r:id="rId10" w:history="1">
        <w:r>
          <w:rPr>
            <w:rStyle w:val="a4"/>
            <w:rFonts w:ascii="Verdana" w:hAnsi="Verdana" w:cs="Arial"/>
            <w:sz w:val="20"/>
            <w:szCs w:val="20"/>
            <w:lang w:val="en-GB"/>
          </w:rPr>
          <w:t>website</w:t>
        </w:r>
      </w:hyperlink>
      <w:r>
        <w:rPr>
          <w:rFonts w:ascii="Verdana" w:hAnsi="Verdana" w:cs="Arial"/>
          <w:sz w:val="20"/>
          <w:szCs w:val="20"/>
          <w:lang w:val="en-GB"/>
        </w:rPr>
        <w:t>.</w:t>
      </w:r>
    </w:p>
    <w:p w14:paraId="12E7E718" w14:textId="77777777" w:rsidR="006F45DB" w:rsidRPr="00310511" w:rsidRDefault="006F45DB" w:rsidP="004D67D8">
      <w:pPr>
        <w:pStyle w:val="a3"/>
        <w:shd w:val="clear" w:color="auto" w:fill="FFFFFF"/>
        <w:spacing w:before="0" w:beforeAutospacing="0" w:after="120" w:afterAutospacing="0"/>
        <w:textAlignment w:val="baseline"/>
        <w:rPr>
          <w:rFonts w:ascii="Verdana" w:hAnsi="Verdana" w:cs="Arial"/>
          <w:b/>
          <w:bCs/>
          <w:i/>
          <w:iCs/>
          <w:color w:val="000000"/>
          <w:spacing w:val="-2"/>
          <w:sz w:val="20"/>
          <w:szCs w:val="20"/>
          <w:bdr w:val="none" w:sz="0" w:space="0" w:color="auto" w:frame="1"/>
          <w:lang w:val="en-US"/>
        </w:rPr>
      </w:pPr>
    </w:p>
    <w:p w14:paraId="65994EF2" w14:textId="77777777" w:rsidR="006F45DB" w:rsidRPr="00310511" w:rsidRDefault="00EC2098" w:rsidP="00922160">
      <w:pPr>
        <w:pStyle w:val="a3"/>
        <w:shd w:val="clear" w:color="auto" w:fill="FFFFFF"/>
        <w:spacing w:before="0" w:beforeAutospacing="0" w:after="0" w:afterAutospacing="0"/>
        <w:textAlignment w:val="baseline"/>
        <w:rPr>
          <w:rFonts w:ascii="Verdana" w:hAnsi="Verdana" w:cs="Arial"/>
          <w:color w:val="000000"/>
          <w:spacing w:val="-2"/>
          <w:sz w:val="20"/>
          <w:szCs w:val="20"/>
          <w:lang w:val="en-US"/>
        </w:rPr>
      </w:pPr>
      <w:r>
        <w:rPr>
          <w:rFonts w:ascii="Verdana" w:hAnsi="Verdana" w:cs="Arial"/>
          <w:b/>
          <w:bCs/>
          <w:i/>
          <w:iCs/>
          <w:color w:val="000000"/>
          <w:sz w:val="20"/>
          <w:szCs w:val="20"/>
          <w:bdr w:val="none" w:sz="0" w:space="0" w:color="auto" w:frame="1"/>
          <w:lang w:val="en-GB"/>
        </w:rPr>
        <w:t>Additional Information:</w:t>
      </w:r>
    </w:p>
    <w:p w14:paraId="457681D7" w14:textId="77777777" w:rsidR="006F45DB" w:rsidRPr="00310511" w:rsidRDefault="00EC2098" w:rsidP="00922160">
      <w:pPr>
        <w:pStyle w:val="ArialRegular12pt"/>
        <w:spacing w:before="120" w:after="0" w:line="240" w:lineRule="auto"/>
        <w:rPr>
          <w:rFonts w:ascii="Verdana" w:hAnsi="Verdana"/>
          <w:sz w:val="20"/>
          <w:lang w:val="en-US"/>
        </w:rPr>
      </w:pPr>
      <w:r>
        <w:rPr>
          <w:rFonts w:ascii="Verdana" w:hAnsi="Verdana"/>
          <w:sz w:val="20"/>
          <w:lang w:val="en-GB"/>
        </w:rPr>
        <w:t xml:space="preserve">The </w:t>
      </w:r>
      <w:r>
        <w:rPr>
          <w:rFonts w:ascii="Verdana" w:hAnsi="Verdana"/>
          <w:b/>
          <w:bCs/>
          <w:sz w:val="20"/>
          <w:lang w:val="en-GB"/>
        </w:rPr>
        <w:t>Eurasian Development Bank (EDB)</w:t>
      </w:r>
      <w:r>
        <w:rPr>
          <w:rFonts w:ascii="Verdana" w:hAnsi="Verdana"/>
          <w:sz w:val="20"/>
          <w:lang w:val="en-GB"/>
        </w:rPr>
        <w:t xml:space="preserve"> is a multilateral development bank investing in Eurasia. For more than 18 years, the Bank has worked to strengthen and expand economic ties and foster comprehensive development in its member countries. The EDB’s charter capital totals US $7 billion. Its portfolio consists principally of projects with an integration effect in transport infrastructure, digital systems, green energy, agriculture, manufacturing, and mechanical engineering.  The Bank adheres to the UN Sustainable Development Goals and ESG principles in its operations.</w:t>
      </w:r>
    </w:p>
    <w:p w14:paraId="6E5FEC78" w14:textId="77777777" w:rsidR="006F45DB" w:rsidRPr="00310511" w:rsidRDefault="006F45DB" w:rsidP="00DF2708">
      <w:pPr>
        <w:pStyle w:val="a3"/>
        <w:shd w:val="clear" w:color="auto" w:fill="FFFFFF"/>
        <w:spacing w:before="0" w:beforeAutospacing="0" w:after="0" w:afterAutospacing="0" w:line="375" w:lineRule="atLeast"/>
        <w:textAlignment w:val="baseline"/>
        <w:rPr>
          <w:rFonts w:ascii="Verdana" w:hAnsi="Verdana" w:cs="Arial"/>
          <w:color w:val="000000"/>
          <w:spacing w:val="-2"/>
          <w:sz w:val="22"/>
          <w:szCs w:val="22"/>
          <w:lang w:val="en-US"/>
        </w:rPr>
      </w:pPr>
    </w:p>
    <w:p w14:paraId="70FFAFDA" w14:textId="77777777" w:rsidR="006F45DB" w:rsidRPr="00310511" w:rsidRDefault="00EC2098" w:rsidP="004D67D8">
      <w:pPr>
        <w:pStyle w:val="a3"/>
        <w:shd w:val="clear" w:color="auto" w:fill="FFFFFF"/>
        <w:spacing w:before="0" w:beforeAutospacing="0" w:after="120" w:afterAutospacing="0"/>
        <w:textAlignment w:val="baseline"/>
        <w:rPr>
          <w:rFonts w:ascii="Verdana" w:hAnsi="Verdana" w:cs="Arial"/>
          <w:color w:val="000000"/>
          <w:spacing w:val="-2"/>
          <w:sz w:val="20"/>
          <w:szCs w:val="20"/>
          <w:lang w:val="en-US"/>
        </w:rPr>
      </w:pPr>
      <w:r>
        <w:rPr>
          <w:rFonts w:ascii="Verdana" w:hAnsi="Verdana" w:cs="Arial"/>
          <w:b/>
          <w:bCs/>
          <w:color w:val="000000"/>
          <w:sz w:val="20"/>
          <w:szCs w:val="20"/>
          <w:bdr w:val="none" w:sz="0" w:space="0" w:color="auto" w:frame="1"/>
          <w:lang w:val="en-GB"/>
        </w:rPr>
        <w:t>The EDB Media Centre:</w:t>
      </w:r>
    </w:p>
    <w:p w14:paraId="1C0A2C91" w14:textId="77777777" w:rsidR="006F45DB" w:rsidRPr="00310511" w:rsidRDefault="00EC2098" w:rsidP="004D67D8">
      <w:pPr>
        <w:pStyle w:val="a3"/>
        <w:shd w:val="clear" w:color="auto" w:fill="FFFFFF"/>
        <w:spacing w:before="0" w:beforeAutospacing="0" w:after="120" w:afterAutospacing="0"/>
        <w:textAlignment w:val="baseline"/>
        <w:rPr>
          <w:rFonts w:ascii="Verdana" w:hAnsi="Verdana" w:cs="Arial"/>
          <w:color w:val="000000"/>
          <w:spacing w:val="-2"/>
          <w:sz w:val="20"/>
          <w:szCs w:val="20"/>
          <w:lang w:val="en-US"/>
        </w:rPr>
      </w:pPr>
      <w:r>
        <w:rPr>
          <w:rFonts w:ascii="Verdana" w:hAnsi="Verdana" w:cs="Arial"/>
          <w:i/>
          <w:iCs/>
          <w:color w:val="000000"/>
          <w:sz w:val="20"/>
          <w:szCs w:val="20"/>
          <w:bdr w:val="none" w:sz="0" w:space="0" w:color="auto" w:frame="1"/>
          <w:lang w:val="en-GB"/>
        </w:rPr>
        <w:t>+7 (727) 244 40 44, ext. 6147</w:t>
      </w:r>
    </w:p>
    <w:p w14:paraId="4D5C7F95" w14:textId="77777777" w:rsidR="006F45DB" w:rsidRPr="00310511" w:rsidRDefault="00C1037C" w:rsidP="004D67D8">
      <w:pPr>
        <w:pStyle w:val="a3"/>
        <w:shd w:val="clear" w:color="auto" w:fill="FFFFFF"/>
        <w:spacing w:before="0" w:beforeAutospacing="0" w:after="120" w:afterAutospacing="0"/>
        <w:textAlignment w:val="baseline"/>
        <w:rPr>
          <w:rFonts w:ascii="Verdana" w:hAnsi="Verdana" w:cs="Arial"/>
          <w:color w:val="000000"/>
          <w:spacing w:val="-2"/>
          <w:sz w:val="20"/>
          <w:szCs w:val="20"/>
          <w:lang w:val="en-US"/>
        </w:rPr>
      </w:pPr>
      <w:hyperlink r:id="rId11" w:history="1">
        <w:r w:rsidR="00EC2098">
          <w:rPr>
            <w:rStyle w:val="a4"/>
            <w:rFonts w:ascii="Verdana" w:hAnsi="Verdana" w:cs="Arial"/>
            <w:i/>
            <w:iCs/>
            <w:sz w:val="20"/>
            <w:szCs w:val="20"/>
            <w:bdr w:val="none" w:sz="0" w:space="0" w:color="auto" w:frame="1"/>
            <w:lang w:val="en-GB"/>
          </w:rPr>
          <w:t>pressa@eabr.org</w:t>
        </w:r>
      </w:hyperlink>
    </w:p>
    <w:p w14:paraId="709746DA" w14:textId="77777777" w:rsidR="006F45DB" w:rsidRPr="00310511" w:rsidRDefault="00C1037C" w:rsidP="004D67D8">
      <w:pPr>
        <w:pStyle w:val="a3"/>
        <w:shd w:val="clear" w:color="auto" w:fill="FFFFFF"/>
        <w:spacing w:before="0" w:beforeAutospacing="0" w:after="120" w:afterAutospacing="0"/>
        <w:textAlignment w:val="baseline"/>
        <w:rPr>
          <w:rStyle w:val="a4"/>
          <w:rFonts w:ascii="Verdana" w:hAnsi="Verdana" w:cs="Arial"/>
          <w:i/>
          <w:iCs/>
          <w:spacing w:val="-2"/>
          <w:sz w:val="20"/>
          <w:szCs w:val="20"/>
          <w:bdr w:val="none" w:sz="0" w:space="0" w:color="auto" w:frame="1"/>
          <w:lang w:val="en-US"/>
        </w:rPr>
      </w:pPr>
      <w:hyperlink r:id="rId12" w:history="1">
        <w:r w:rsidR="00EC2098">
          <w:rPr>
            <w:rStyle w:val="a4"/>
            <w:rFonts w:ascii="Verdana" w:hAnsi="Verdana" w:cs="Arial"/>
            <w:i/>
            <w:iCs/>
            <w:sz w:val="20"/>
            <w:szCs w:val="20"/>
            <w:bdr w:val="none" w:sz="0" w:space="0" w:color="auto" w:frame="1"/>
            <w:lang w:val="en-GB"/>
          </w:rPr>
          <w:t>www.eabr.org</w:t>
        </w:r>
      </w:hyperlink>
    </w:p>
    <w:p w14:paraId="7685FD39" w14:textId="77777777" w:rsidR="006F45DB" w:rsidRPr="00310511" w:rsidRDefault="006F45DB" w:rsidP="004D67D8">
      <w:pPr>
        <w:pStyle w:val="a3"/>
        <w:shd w:val="clear" w:color="auto" w:fill="FFFFFF"/>
        <w:spacing w:before="0" w:beforeAutospacing="0" w:after="120" w:afterAutospacing="0"/>
        <w:textAlignment w:val="baseline"/>
        <w:rPr>
          <w:rFonts w:ascii="Verdana" w:hAnsi="Verdana" w:cs="Arial"/>
          <w:color w:val="000000"/>
          <w:spacing w:val="-2"/>
          <w:sz w:val="20"/>
          <w:szCs w:val="20"/>
          <w:lang w:val="en-US"/>
        </w:rPr>
      </w:pPr>
    </w:p>
    <w:p w14:paraId="0D50606E" w14:textId="77777777" w:rsidR="006F45DB" w:rsidRPr="00310511" w:rsidRDefault="006F45DB" w:rsidP="004D67D8">
      <w:pPr>
        <w:rPr>
          <w:rFonts w:ascii="Verdana" w:hAnsi="Verdana"/>
          <w:sz w:val="20"/>
          <w:szCs w:val="20"/>
          <w:lang w:val="en-US"/>
        </w:rPr>
      </w:pPr>
    </w:p>
    <w:p w14:paraId="5F902504" w14:textId="77777777" w:rsidR="00EE6753" w:rsidRPr="006F45DB" w:rsidRDefault="00EC2098" w:rsidP="006F45DB">
      <w:pPr>
        <w:spacing w:after="0" w:line="360" w:lineRule="auto"/>
        <w:ind w:firstLine="2410"/>
        <w:jc w:val="both"/>
        <w:rPr>
          <w:rFonts w:ascii="Verdana" w:eastAsia="Times New Roman" w:hAnsi="Verdana"/>
          <w:b/>
          <w:sz w:val="20"/>
          <w:szCs w:val="20"/>
          <w:lang w:val="en-US"/>
        </w:rPr>
      </w:pPr>
      <w:commentRangeStart w:id="1"/>
      <w:r>
        <w:rPr>
          <w:rFonts w:ascii="Verdana" w:hAnsi="Verdana" w:cs="Arial"/>
          <w:noProof/>
          <w:sz w:val="20"/>
          <w:szCs w:val="20"/>
          <w:lang w:eastAsia="ru-RU"/>
        </w:rPr>
        <w:drawing>
          <wp:inline distT="0" distB="0" distL="0" distR="0" wp14:anchorId="2D6DF557" wp14:editId="6E69E6D7">
            <wp:extent cx="3086100" cy="412750"/>
            <wp:effectExtent l="0" t="0" r="0" b="0"/>
            <wp:docPr id="76037173" name="Picture 76037173" descr="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07346" name="Рисунок 4" descr="logo_ne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86100" cy="412750"/>
                    </a:xfrm>
                    <a:prstGeom prst="rect">
                      <a:avLst/>
                    </a:prstGeom>
                    <a:noFill/>
                    <a:ln>
                      <a:noFill/>
                    </a:ln>
                  </pic:spPr>
                </pic:pic>
              </a:graphicData>
            </a:graphic>
          </wp:inline>
        </w:drawing>
      </w:r>
      <w:commentRangeEnd w:id="1"/>
      <w:r w:rsidR="009101B6">
        <w:rPr>
          <w:rStyle w:val="a5"/>
        </w:rPr>
        <w:commentReference w:id="1"/>
      </w:r>
    </w:p>
    <w:sectPr w:rsidR="00EE6753" w:rsidRPr="006F45DB" w:rsidSect="000D5DFD">
      <w:pgSz w:w="11906" w:h="16838"/>
      <w:pgMar w:top="851" w:right="850" w:bottom="993"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Пылова Ольга Андреевна" w:date="2024-06-14T12:04:00Z" w:initials="ПОА">
    <w:p w14:paraId="51323A0C" w14:textId="7C4EF80D" w:rsidR="009101B6" w:rsidRDefault="009101B6">
      <w:pPr>
        <w:pStyle w:val="a6"/>
      </w:pPr>
      <w:r>
        <w:rPr>
          <w:rStyle w:val="a5"/>
        </w:rPr>
        <w:annotationRef/>
      </w:r>
      <w:r>
        <w:t xml:space="preserve">Надо заменить на </w:t>
      </w:r>
      <w:proofErr w:type="spellStart"/>
      <w:r>
        <w:t>англ</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323A0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ылова Ольга Андреевна">
    <w15:presenceInfo w15:providerId="AD" w15:userId="S-1-5-21-65139809-3490374787-3483852080-17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C85"/>
    <w:rsid w:val="00001007"/>
    <w:rsid w:val="00003F1D"/>
    <w:rsid w:val="00006828"/>
    <w:rsid w:val="00013DDB"/>
    <w:rsid w:val="00014514"/>
    <w:rsid w:val="000522E8"/>
    <w:rsid w:val="00052B22"/>
    <w:rsid w:val="00055954"/>
    <w:rsid w:val="00060D75"/>
    <w:rsid w:val="000620C6"/>
    <w:rsid w:val="000636C4"/>
    <w:rsid w:val="0006538B"/>
    <w:rsid w:val="000739A9"/>
    <w:rsid w:val="0008624E"/>
    <w:rsid w:val="000928AC"/>
    <w:rsid w:val="00094292"/>
    <w:rsid w:val="000B32D4"/>
    <w:rsid w:val="000C5255"/>
    <w:rsid w:val="000D5DFD"/>
    <w:rsid w:val="000E0B34"/>
    <w:rsid w:val="000F3557"/>
    <w:rsid w:val="000F6603"/>
    <w:rsid w:val="001003D8"/>
    <w:rsid w:val="00116D1A"/>
    <w:rsid w:val="00117A8C"/>
    <w:rsid w:val="001235D5"/>
    <w:rsid w:val="00140A88"/>
    <w:rsid w:val="00142D7E"/>
    <w:rsid w:val="001473DB"/>
    <w:rsid w:val="00154995"/>
    <w:rsid w:val="00164ABA"/>
    <w:rsid w:val="00173215"/>
    <w:rsid w:val="00173353"/>
    <w:rsid w:val="001862C1"/>
    <w:rsid w:val="0019476E"/>
    <w:rsid w:val="001949E3"/>
    <w:rsid w:val="001A65FD"/>
    <w:rsid w:val="001B4249"/>
    <w:rsid w:val="001B551E"/>
    <w:rsid w:val="001B7A84"/>
    <w:rsid w:val="001B7F1C"/>
    <w:rsid w:val="001E1E3E"/>
    <w:rsid w:val="001E23D7"/>
    <w:rsid w:val="00210160"/>
    <w:rsid w:val="00213497"/>
    <w:rsid w:val="00216195"/>
    <w:rsid w:val="0021625A"/>
    <w:rsid w:val="00222830"/>
    <w:rsid w:val="00232A70"/>
    <w:rsid w:val="00245719"/>
    <w:rsid w:val="00246219"/>
    <w:rsid w:val="0024773C"/>
    <w:rsid w:val="00247C32"/>
    <w:rsid w:val="00261714"/>
    <w:rsid w:val="00270BEA"/>
    <w:rsid w:val="00276A31"/>
    <w:rsid w:val="002A6AA9"/>
    <w:rsid w:val="002D1AD3"/>
    <w:rsid w:val="002D5C1D"/>
    <w:rsid w:val="002E2145"/>
    <w:rsid w:val="002E4E73"/>
    <w:rsid w:val="003035A0"/>
    <w:rsid w:val="00310511"/>
    <w:rsid w:val="003206F3"/>
    <w:rsid w:val="00335AFB"/>
    <w:rsid w:val="00337CC1"/>
    <w:rsid w:val="00362059"/>
    <w:rsid w:val="003620C4"/>
    <w:rsid w:val="00381BCA"/>
    <w:rsid w:val="00395A42"/>
    <w:rsid w:val="003B03DF"/>
    <w:rsid w:val="003B31E0"/>
    <w:rsid w:val="003B655F"/>
    <w:rsid w:val="003F26E7"/>
    <w:rsid w:val="003F2756"/>
    <w:rsid w:val="0040044E"/>
    <w:rsid w:val="00400F2A"/>
    <w:rsid w:val="00406831"/>
    <w:rsid w:val="0041485A"/>
    <w:rsid w:val="00417D6A"/>
    <w:rsid w:val="00435C1F"/>
    <w:rsid w:val="0044397F"/>
    <w:rsid w:val="0045082B"/>
    <w:rsid w:val="00450BB1"/>
    <w:rsid w:val="00457F6E"/>
    <w:rsid w:val="00471C01"/>
    <w:rsid w:val="00475785"/>
    <w:rsid w:val="00484FD5"/>
    <w:rsid w:val="004B21EA"/>
    <w:rsid w:val="004D1F18"/>
    <w:rsid w:val="004D3A8F"/>
    <w:rsid w:val="004D67D8"/>
    <w:rsid w:val="004D70E7"/>
    <w:rsid w:val="004E0366"/>
    <w:rsid w:val="004F6BDD"/>
    <w:rsid w:val="0050531F"/>
    <w:rsid w:val="00514F3A"/>
    <w:rsid w:val="005232F6"/>
    <w:rsid w:val="0053343C"/>
    <w:rsid w:val="005340BE"/>
    <w:rsid w:val="0054282B"/>
    <w:rsid w:val="005532C0"/>
    <w:rsid w:val="00553E81"/>
    <w:rsid w:val="005542AD"/>
    <w:rsid w:val="0057059E"/>
    <w:rsid w:val="005714F3"/>
    <w:rsid w:val="00572776"/>
    <w:rsid w:val="00592C85"/>
    <w:rsid w:val="005A0175"/>
    <w:rsid w:val="005B2358"/>
    <w:rsid w:val="005B3975"/>
    <w:rsid w:val="005B4390"/>
    <w:rsid w:val="005B4BBD"/>
    <w:rsid w:val="005B7A65"/>
    <w:rsid w:val="005B7B98"/>
    <w:rsid w:val="005C57E1"/>
    <w:rsid w:val="005D5ACE"/>
    <w:rsid w:val="005E463A"/>
    <w:rsid w:val="005E476A"/>
    <w:rsid w:val="005F0865"/>
    <w:rsid w:val="005F167E"/>
    <w:rsid w:val="005F75BC"/>
    <w:rsid w:val="006025FC"/>
    <w:rsid w:val="00604B68"/>
    <w:rsid w:val="00675562"/>
    <w:rsid w:val="006760CA"/>
    <w:rsid w:val="006761EF"/>
    <w:rsid w:val="00684274"/>
    <w:rsid w:val="0069250D"/>
    <w:rsid w:val="006A29B7"/>
    <w:rsid w:val="006A7A93"/>
    <w:rsid w:val="006D37D3"/>
    <w:rsid w:val="006E4421"/>
    <w:rsid w:val="006F07B1"/>
    <w:rsid w:val="006F43C1"/>
    <w:rsid w:val="006F45DB"/>
    <w:rsid w:val="00717505"/>
    <w:rsid w:val="00726BD1"/>
    <w:rsid w:val="00727731"/>
    <w:rsid w:val="00732D50"/>
    <w:rsid w:val="00744062"/>
    <w:rsid w:val="00746EA0"/>
    <w:rsid w:val="00750888"/>
    <w:rsid w:val="0076720E"/>
    <w:rsid w:val="00773716"/>
    <w:rsid w:val="0077761D"/>
    <w:rsid w:val="00787ABC"/>
    <w:rsid w:val="007971AE"/>
    <w:rsid w:val="007A1CC2"/>
    <w:rsid w:val="007A4948"/>
    <w:rsid w:val="007B1FF4"/>
    <w:rsid w:val="007C1823"/>
    <w:rsid w:val="007D7027"/>
    <w:rsid w:val="007E27D2"/>
    <w:rsid w:val="00814C0F"/>
    <w:rsid w:val="00815961"/>
    <w:rsid w:val="00820270"/>
    <w:rsid w:val="00827EEF"/>
    <w:rsid w:val="00835002"/>
    <w:rsid w:val="00844A7A"/>
    <w:rsid w:val="00844F32"/>
    <w:rsid w:val="008469B9"/>
    <w:rsid w:val="00856EEA"/>
    <w:rsid w:val="00870537"/>
    <w:rsid w:val="0087358D"/>
    <w:rsid w:val="0089385A"/>
    <w:rsid w:val="00895F92"/>
    <w:rsid w:val="008A280E"/>
    <w:rsid w:val="008A2B8F"/>
    <w:rsid w:val="008B6DDC"/>
    <w:rsid w:val="008C35A8"/>
    <w:rsid w:val="008E1FE6"/>
    <w:rsid w:val="008E644B"/>
    <w:rsid w:val="0090225A"/>
    <w:rsid w:val="00905D25"/>
    <w:rsid w:val="009101B6"/>
    <w:rsid w:val="00917DE3"/>
    <w:rsid w:val="00922160"/>
    <w:rsid w:val="009333E3"/>
    <w:rsid w:val="00935333"/>
    <w:rsid w:val="009403CB"/>
    <w:rsid w:val="00944AB5"/>
    <w:rsid w:val="00950C55"/>
    <w:rsid w:val="00954CFE"/>
    <w:rsid w:val="00964535"/>
    <w:rsid w:val="00976671"/>
    <w:rsid w:val="00994879"/>
    <w:rsid w:val="009A390A"/>
    <w:rsid w:val="009C512E"/>
    <w:rsid w:val="009C69ED"/>
    <w:rsid w:val="009D24CB"/>
    <w:rsid w:val="009D283B"/>
    <w:rsid w:val="009F2941"/>
    <w:rsid w:val="009F45AA"/>
    <w:rsid w:val="00A12991"/>
    <w:rsid w:val="00A4239A"/>
    <w:rsid w:val="00A47BEA"/>
    <w:rsid w:val="00A520B4"/>
    <w:rsid w:val="00A6300A"/>
    <w:rsid w:val="00A67FD4"/>
    <w:rsid w:val="00A75C1A"/>
    <w:rsid w:val="00A76A3A"/>
    <w:rsid w:val="00A81021"/>
    <w:rsid w:val="00A8532D"/>
    <w:rsid w:val="00A95432"/>
    <w:rsid w:val="00AC67BF"/>
    <w:rsid w:val="00AD19ED"/>
    <w:rsid w:val="00AF038D"/>
    <w:rsid w:val="00AF2413"/>
    <w:rsid w:val="00AF6CBA"/>
    <w:rsid w:val="00B044C7"/>
    <w:rsid w:val="00B06958"/>
    <w:rsid w:val="00B15CAC"/>
    <w:rsid w:val="00B238F8"/>
    <w:rsid w:val="00B2395A"/>
    <w:rsid w:val="00B24FFE"/>
    <w:rsid w:val="00B44547"/>
    <w:rsid w:val="00B47FC7"/>
    <w:rsid w:val="00B53D43"/>
    <w:rsid w:val="00B60608"/>
    <w:rsid w:val="00B84690"/>
    <w:rsid w:val="00B872DB"/>
    <w:rsid w:val="00B948C7"/>
    <w:rsid w:val="00BA1A1A"/>
    <w:rsid w:val="00BB527E"/>
    <w:rsid w:val="00BC0EB7"/>
    <w:rsid w:val="00BC4EEF"/>
    <w:rsid w:val="00BE54D0"/>
    <w:rsid w:val="00BF2507"/>
    <w:rsid w:val="00C01FFF"/>
    <w:rsid w:val="00C04A8C"/>
    <w:rsid w:val="00C06A3C"/>
    <w:rsid w:val="00C1037C"/>
    <w:rsid w:val="00C14096"/>
    <w:rsid w:val="00C22450"/>
    <w:rsid w:val="00C23B0D"/>
    <w:rsid w:val="00C26F3B"/>
    <w:rsid w:val="00C33E62"/>
    <w:rsid w:val="00C3621A"/>
    <w:rsid w:val="00C36F74"/>
    <w:rsid w:val="00C51570"/>
    <w:rsid w:val="00C536EA"/>
    <w:rsid w:val="00C6678A"/>
    <w:rsid w:val="00C66E2B"/>
    <w:rsid w:val="00C87C45"/>
    <w:rsid w:val="00C977FC"/>
    <w:rsid w:val="00CB41A3"/>
    <w:rsid w:val="00CC7543"/>
    <w:rsid w:val="00CD765E"/>
    <w:rsid w:val="00CE6BA2"/>
    <w:rsid w:val="00CF1337"/>
    <w:rsid w:val="00CF475B"/>
    <w:rsid w:val="00D21A6E"/>
    <w:rsid w:val="00D64DA7"/>
    <w:rsid w:val="00D74A25"/>
    <w:rsid w:val="00D94005"/>
    <w:rsid w:val="00DA1219"/>
    <w:rsid w:val="00DB0B72"/>
    <w:rsid w:val="00DB406E"/>
    <w:rsid w:val="00DB70C6"/>
    <w:rsid w:val="00DE34A5"/>
    <w:rsid w:val="00DE7F30"/>
    <w:rsid w:val="00DF2708"/>
    <w:rsid w:val="00DF3AEC"/>
    <w:rsid w:val="00DF4772"/>
    <w:rsid w:val="00E037CF"/>
    <w:rsid w:val="00E03F06"/>
    <w:rsid w:val="00E205DD"/>
    <w:rsid w:val="00E23DB9"/>
    <w:rsid w:val="00E33D83"/>
    <w:rsid w:val="00E37756"/>
    <w:rsid w:val="00E45D7C"/>
    <w:rsid w:val="00E54257"/>
    <w:rsid w:val="00E71E36"/>
    <w:rsid w:val="00E73851"/>
    <w:rsid w:val="00E74D2D"/>
    <w:rsid w:val="00E774C0"/>
    <w:rsid w:val="00E92CF0"/>
    <w:rsid w:val="00E96DDC"/>
    <w:rsid w:val="00EA0A12"/>
    <w:rsid w:val="00EC2098"/>
    <w:rsid w:val="00EC4602"/>
    <w:rsid w:val="00ED1AB6"/>
    <w:rsid w:val="00EE5E48"/>
    <w:rsid w:val="00EE6753"/>
    <w:rsid w:val="00F0376E"/>
    <w:rsid w:val="00F03EA2"/>
    <w:rsid w:val="00F05AAB"/>
    <w:rsid w:val="00F05D89"/>
    <w:rsid w:val="00F10970"/>
    <w:rsid w:val="00F24A00"/>
    <w:rsid w:val="00F413CD"/>
    <w:rsid w:val="00F4532A"/>
    <w:rsid w:val="00F53848"/>
    <w:rsid w:val="00F54D47"/>
    <w:rsid w:val="00F65192"/>
    <w:rsid w:val="00F65EDF"/>
    <w:rsid w:val="00F66A93"/>
    <w:rsid w:val="00F7066C"/>
    <w:rsid w:val="00F74EA3"/>
    <w:rsid w:val="00F85479"/>
    <w:rsid w:val="00F915A3"/>
    <w:rsid w:val="00FA6B2B"/>
    <w:rsid w:val="00FA6EF1"/>
    <w:rsid w:val="00FB5285"/>
    <w:rsid w:val="00FB6EAF"/>
    <w:rsid w:val="00FC320A"/>
    <w:rsid w:val="00FF464A"/>
    <w:rsid w:val="00FF5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5C7B7"/>
  <w15:chartTrackingRefBased/>
  <w15:docId w15:val="{9252474D-CF01-402A-97F6-6A478D66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C8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2C85"/>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592C85"/>
    <w:rPr>
      <w:color w:val="0563C1"/>
      <w:u w:val="single"/>
    </w:rPr>
  </w:style>
  <w:style w:type="paragraph" w:customStyle="1" w:styleId="ArialRegular12pt">
    <w:name w:val="Основной стиль текста (Arial Regular 12pt)"/>
    <w:basedOn w:val="a"/>
    <w:link w:val="ArialRegular12pt0"/>
    <w:qFormat/>
    <w:rsid w:val="00592C85"/>
    <w:pPr>
      <w:spacing w:after="160" w:line="259" w:lineRule="auto"/>
      <w:jc w:val="both"/>
    </w:pPr>
    <w:rPr>
      <w:rFonts w:ascii="Arial" w:hAnsi="Arial"/>
      <w:sz w:val="24"/>
      <w:szCs w:val="20"/>
      <w:lang w:eastAsia="ru-RU"/>
    </w:rPr>
  </w:style>
  <w:style w:type="character" w:customStyle="1" w:styleId="ArialRegular12pt0">
    <w:name w:val="Основной стиль текста (Arial Regular 12pt) Знак"/>
    <w:link w:val="ArialRegular12pt"/>
    <w:rsid w:val="00592C85"/>
    <w:rPr>
      <w:rFonts w:ascii="Arial" w:eastAsia="Calibri" w:hAnsi="Arial" w:cs="Times New Roman"/>
      <w:sz w:val="24"/>
      <w:szCs w:val="20"/>
      <w:lang w:eastAsia="ru-RU"/>
    </w:rPr>
  </w:style>
  <w:style w:type="character" w:styleId="a5">
    <w:name w:val="annotation reference"/>
    <w:uiPriority w:val="99"/>
    <w:semiHidden/>
    <w:unhideWhenUsed/>
    <w:rsid w:val="00164ABA"/>
    <w:rPr>
      <w:sz w:val="16"/>
      <w:szCs w:val="16"/>
    </w:rPr>
  </w:style>
  <w:style w:type="paragraph" w:styleId="a6">
    <w:name w:val="annotation text"/>
    <w:basedOn w:val="a"/>
    <w:link w:val="a7"/>
    <w:uiPriority w:val="99"/>
    <w:unhideWhenUsed/>
    <w:rsid w:val="00164ABA"/>
    <w:rPr>
      <w:sz w:val="20"/>
      <w:szCs w:val="20"/>
    </w:rPr>
  </w:style>
  <w:style w:type="character" w:customStyle="1" w:styleId="a7">
    <w:name w:val="Текст примечания Знак"/>
    <w:link w:val="a6"/>
    <w:uiPriority w:val="99"/>
    <w:rsid w:val="00164ABA"/>
    <w:rPr>
      <w:lang w:eastAsia="en-US"/>
    </w:rPr>
  </w:style>
  <w:style w:type="paragraph" w:styleId="a8">
    <w:name w:val="annotation subject"/>
    <w:basedOn w:val="a6"/>
    <w:next w:val="a6"/>
    <w:link w:val="a9"/>
    <w:uiPriority w:val="99"/>
    <w:semiHidden/>
    <w:unhideWhenUsed/>
    <w:rsid w:val="00164ABA"/>
    <w:rPr>
      <w:b/>
      <w:bCs/>
    </w:rPr>
  </w:style>
  <w:style w:type="character" w:customStyle="1" w:styleId="a9">
    <w:name w:val="Тема примечания Знак"/>
    <w:link w:val="a8"/>
    <w:uiPriority w:val="99"/>
    <w:semiHidden/>
    <w:rsid w:val="00164ABA"/>
    <w:rPr>
      <w:b/>
      <w:bCs/>
      <w:lang w:eastAsia="en-US"/>
    </w:rPr>
  </w:style>
  <w:style w:type="paragraph" w:styleId="aa">
    <w:name w:val="Balloon Text"/>
    <w:basedOn w:val="a"/>
    <w:link w:val="ab"/>
    <w:uiPriority w:val="99"/>
    <w:semiHidden/>
    <w:unhideWhenUsed/>
    <w:rsid w:val="00787AB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87ABC"/>
    <w:rPr>
      <w:rFonts w:ascii="Segoe UI" w:hAnsi="Segoe UI" w:cs="Segoe UI"/>
      <w:sz w:val="18"/>
      <w:szCs w:val="18"/>
      <w:lang w:eastAsia="en-US"/>
    </w:rPr>
  </w:style>
  <w:style w:type="paragraph" w:styleId="ac">
    <w:name w:val="Revision"/>
    <w:hidden/>
    <w:uiPriority w:val="99"/>
    <w:semiHidden/>
    <w:rsid w:val="005B7A6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omments" Target="comments.xml"/><Relationship Id="rId3" Type="http://schemas.openxmlformats.org/officeDocument/2006/relationships/webSettings" Target="webSettings.xml"/><Relationship Id="rId7" Type="http://schemas.openxmlformats.org/officeDocument/2006/relationships/hyperlink" Target="http://www.eabr.org/" TargetMode="External"/><Relationship Id="rId12" Type="http://schemas.openxmlformats.org/officeDocument/2006/relationships/hyperlink" Target="http://www.eabr.org/" TargetMode="Externa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hyperlink" Target="mailto:pressa@eabr.org" TargetMode="External"/><Relationship Id="rId11" Type="http://schemas.openxmlformats.org/officeDocument/2006/relationships/hyperlink" Target="mailto:pressa@eabr.org" TargetMode="External"/><Relationship Id="rId5" Type="http://schemas.openxmlformats.org/officeDocument/2006/relationships/hyperlink" Target="https://eabr.org/analytics/ceg-quarterly-reviews/" TargetMode="External"/><Relationship Id="rId15" Type="http://schemas.openxmlformats.org/officeDocument/2006/relationships/fontTable" Target="fontTable.xml"/><Relationship Id="rId10" Type="http://schemas.openxmlformats.org/officeDocument/2006/relationships/hyperlink" Target="https://eabr.org/analytics/ceg-quarterly-reviews/" TargetMode="External"/><Relationship Id="rId4" Type="http://schemas.openxmlformats.org/officeDocument/2006/relationships/image" Target="media/image1.png"/><Relationship Id="rId9" Type="http://schemas.openxmlformats.org/officeDocument/2006/relationships/image" Target="media/image3.png"/><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Pages>
  <Words>2058</Words>
  <Characters>11733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Исакова Анна Александровна</dc:creator>
  <cp:lastModifiedBy>Мелихова Марина Витальевна</cp:lastModifiedBy>
  <cp:revision>11</cp:revision>
  <cp:lastPrinted>2023-12-05T08:56:00Z</cp:lastPrinted>
  <dcterms:created xsi:type="dcterms:W3CDTF">2024-06-10T08:16:00Z</dcterms:created>
  <dcterms:modified xsi:type="dcterms:W3CDTF">2024-06-14T11:20:00Z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36be54e0411633d05a43f7717c3fc4480912ce623bf52d4947edb7057edc8030</vt:lpwstr>
  </property>
</Properties>
</file>