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135EE" w14:textId="77777777" w:rsidR="0088483C" w:rsidRPr="0088483C" w:rsidRDefault="00662211" w:rsidP="0088483C">
      <w:pPr>
        <w:spacing w:before="120" w:after="120" w:line="240" w:lineRule="auto"/>
        <w:jc w:val="both"/>
        <w:outlineLvl w:val="1"/>
        <w:rPr>
          <w:rFonts w:ascii="Verdana" w:eastAsia="Times New Roman" w:hAnsi="Verdana" w:cs="Times New Roman"/>
          <w:b/>
          <w:bCs/>
        </w:rPr>
      </w:pPr>
      <w:r w:rsidRPr="00662211">
        <w:rPr>
          <w:rFonts w:ascii="Verdana" w:eastAsia="Times New Roman" w:hAnsi="Verdana" w:cs="Times New Roman"/>
          <w:b/>
          <w:bCs/>
        </w:rPr>
        <w:t>Складская инфраструктура Евразийского региона</w:t>
      </w:r>
      <w:r>
        <w:rPr>
          <w:rFonts w:ascii="Verdana" w:eastAsia="Times New Roman" w:hAnsi="Verdana" w:cs="Times New Roman"/>
          <w:b/>
          <w:bCs/>
        </w:rPr>
        <w:t xml:space="preserve"> – </w:t>
      </w:r>
      <w:r w:rsidRPr="00662211">
        <w:rPr>
          <w:rFonts w:ascii="Verdana" w:eastAsia="Times New Roman" w:hAnsi="Verdana" w:cs="Times New Roman"/>
          <w:b/>
          <w:bCs/>
        </w:rPr>
        <w:t>возможность десятилетия</w:t>
      </w:r>
      <w:r>
        <w:rPr>
          <w:rFonts w:ascii="Verdana" w:eastAsia="Times New Roman" w:hAnsi="Verdana" w:cs="Times New Roman"/>
          <w:b/>
          <w:bCs/>
        </w:rPr>
        <w:t>: новое исследование ЕАБР.</w:t>
      </w:r>
    </w:p>
    <w:p w14:paraId="306EBC89" w14:textId="77777777" w:rsidR="0088483C" w:rsidRPr="0088483C" w:rsidRDefault="0088483C" w:rsidP="0088483C">
      <w:pPr>
        <w:spacing w:before="120" w:after="120" w:line="240" w:lineRule="auto"/>
        <w:jc w:val="both"/>
        <w:rPr>
          <w:rFonts w:ascii="Verdana" w:eastAsia="Times New Roman" w:hAnsi="Verdana" w:cs="Times New Roman"/>
        </w:rPr>
      </w:pPr>
      <w:r w:rsidRPr="0088483C">
        <w:rPr>
          <w:rFonts w:ascii="Verdana" w:eastAsia="Times New Roman" w:hAnsi="Verdana" w:cs="Times New Roman"/>
          <w:b/>
          <w:bCs/>
        </w:rPr>
        <w:t>Алматы, 23 октября 2025 года</w:t>
      </w:r>
    </w:p>
    <w:p w14:paraId="23439BC7" w14:textId="4BF90CD8" w:rsidR="008216E0" w:rsidRPr="008216E0" w:rsidRDefault="0088483C" w:rsidP="0088483C">
      <w:pPr>
        <w:spacing w:before="120" w:after="120" w:line="240" w:lineRule="auto"/>
        <w:jc w:val="both"/>
        <w:rPr>
          <w:rFonts w:ascii="Verdana" w:eastAsia="Times New Roman" w:hAnsi="Verdana" w:cs="Times New Roman"/>
          <w:b/>
        </w:rPr>
      </w:pPr>
      <w:r w:rsidRPr="0088483C">
        <w:rPr>
          <w:rFonts w:ascii="Verdana" w:eastAsia="Times New Roman" w:hAnsi="Verdana" w:cs="Times New Roman"/>
        </w:rPr>
        <w:t xml:space="preserve">Евразийский регион </w:t>
      </w:r>
      <w:r>
        <w:rPr>
          <w:rFonts w:ascii="Verdana" w:eastAsia="Times New Roman" w:hAnsi="Verdana" w:cs="Times New Roman"/>
        </w:rPr>
        <w:t xml:space="preserve">вступил </w:t>
      </w:r>
      <w:r w:rsidRPr="0088483C">
        <w:rPr>
          <w:rFonts w:ascii="Verdana" w:eastAsia="Times New Roman" w:hAnsi="Verdana" w:cs="Times New Roman"/>
        </w:rPr>
        <w:t xml:space="preserve">в фазу ускоренного развития складской инфраструктуры. </w:t>
      </w:r>
      <w:r w:rsidRPr="008216E0">
        <w:rPr>
          <w:rFonts w:ascii="Verdana" w:eastAsia="Times New Roman" w:hAnsi="Verdana" w:cs="Times New Roman"/>
          <w:b/>
        </w:rPr>
        <w:t>С 2021 г. по I квартал 2025 г.</w:t>
      </w:r>
      <w:r>
        <w:rPr>
          <w:rFonts w:ascii="Verdana" w:eastAsia="Times New Roman" w:hAnsi="Verdana" w:cs="Times New Roman"/>
        </w:rPr>
        <w:t xml:space="preserve"> </w:t>
      </w:r>
      <w:r w:rsidRPr="0088483C">
        <w:rPr>
          <w:rFonts w:ascii="Verdana" w:eastAsia="Times New Roman" w:hAnsi="Verdana" w:cs="Times New Roman"/>
        </w:rPr>
        <w:t xml:space="preserve">общий фонд современных складов вырос </w:t>
      </w:r>
      <w:r w:rsidRPr="008216E0">
        <w:rPr>
          <w:rFonts w:ascii="Verdana" w:eastAsia="Times New Roman" w:hAnsi="Verdana" w:cs="Times New Roman"/>
          <w:b/>
        </w:rPr>
        <w:t>с 4</w:t>
      </w:r>
      <w:r w:rsidR="002C6F28" w:rsidRPr="00E6439D">
        <w:rPr>
          <w:rFonts w:ascii="Verdana" w:eastAsia="Times New Roman" w:hAnsi="Verdana" w:cs="Times New Roman"/>
          <w:b/>
        </w:rPr>
        <w:t>4</w:t>
      </w:r>
      <w:r w:rsidRPr="008216E0">
        <w:rPr>
          <w:rFonts w:ascii="Verdana" w:eastAsia="Times New Roman" w:hAnsi="Verdana" w:cs="Times New Roman"/>
          <w:b/>
        </w:rPr>
        <w:t xml:space="preserve"> до 58 млн м². </w:t>
      </w:r>
    </w:p>
    <w:p w14:paraId="73BBEA1F" w14:textId="6A40D17A" w:rsidR="008216E0" w:rsidRDefault="0088483C" w:rsidP="0088483C">
      <w:pPr>
        <w:spacing w:before="120" w:after="120" w:line="240" w:lineRule="auto"/>
        <w:jc w:val="both"/>
        <w:rPr>
          <w:rFonts w:ascii="Verdana" w:eastAsia="Times New Roman" w:hAnsi="Verdana" w:cs="Times New Roman"/>
        </w:rPr>
      </w:pPr>
      <w:r w:rsidRPr="0088483C">
        <w:rPr>
          <w:rFonts w:ascii="Verdana" w:eastAsia="Times New Roman" w:hAnsi="Verdana" w:cs="Times New Roman"/>
        </w:rPr>
        <w:t xml:space="preserve">В Центральной Азии, </w:t>
      </w:r>
      <w:r w:rsidR="0017634F" w:rsidRPr="00E6439D">
        <w:rPr>
          <w:rFonts w:ascii="Verdana" w:eastAsia="Times New Roman" w:hAnsi="Verdana" w:cs="Times New Roman"/>
        </w:rPr>
        <w:t xml:space="preserve">на Южном Кавказе </w:t>
      </w:r>
      <w:r w:rsidRPr="0088483C">
        <w:rPr>
          <w:rFonts w:ascii="Verdana" w:eastAsia="Times New Roman" w:hAnsi="Verdana" w:cs="Times New Roman"/>
        </w:rPr>
        <w:t>и</w:t>
      </w:r>
      <w:r w:rsidR="0017634F">
        <w:rPr>
          <w:rFonts w:ascii="Verdana" w:eastAsia="Times New Roman" w:hAnsi="Verdana" w:cs="Times New Roman"/>
        </w:rPr>
        <w:t xml:space="preserve"> в</w:t>
      </w:r>
      <w:r w:rsidRPr="0088483C">
        <w:rPr>
          <w:rFonts w:ascii="Verdana" w:eastAsia="Times New Roman" w:hAnsi="Verdana" w:cs="Times New Roman"/>
        </w:rPr>
        <w:t xml:space="preserve"> Беларуси совокупная площадь достигла </w:t>
      </w:r>
      <w:r w:rsidR="0017634F">
        <w:rPr>
          <w:rFonts w:ascii="Verdana" w:eastAsia="Times New Roman" w:hAnsi="Verdana" w:cs="Times New Roman"/>
        </w:rPr>
        <w:t xml:space="preserve">в общей сложности </w:t>
      </w:r>
      <w:r w:rsidRPr="0088483C">
        <w:rPr>
          <w:rFonts w:ascii="Verdana" w:eastAsia="Times New Roman" w:hAnsi="Verdana" w:cs="Times New Roman"/>
        </w:rPr>
        <w:t xml:space="preserve">5,4 млн м². </w:t>
      </w:r>
    </w:p>
    <w:p w14:paraId="0B119662" w14:textId="4BC77C3F" w:rsidR="008216E0" w:rsidRPr="008216E0" w:rsidRDefault="008216E0" w:rsidP="008216E0">
      <w:pPr>
        <w:spacing w:before="120" w:after="120" w:line="240" w:lineRule="auto"/>
        <w:jc w:val="both"/>
        <w:rPr>
          <w:rFonts w:ascii="Verdana" w:eastAsia="Times New Roman" w:hAnsi="Verdana" w:cs="Times New Roman"/>
          <w:b/>
        </w:rPr>
      </w:pPr>
      <w:r w:rsidRPr="008216E0">
        <w:rPr>
          <w:rFonts w:ascii="Verdana" w:eastAsia="Times New Roman" w:hAnsi="Verdana" w:cs="Times New Roman"/>
          <w:b/>
        </w:rPr>
        <w:t>Лидеры по объ</w:t>
      </w:r>
      <w:r w:rsidR="0017634F">
        <w:rPr>
          <w:rFonts w:ascii="Verdana" w:eastAsia="Times New Roman" w:hAnsi="Verdana" w:cs="Times New Roman"/>
          <w:b/>
        </w:rPr>
        <w:t>е</w:t>
      </w:r>
      <w:r w:rsidRPr="008216E0">
        <w:rPr>
          <w:rFonts w:ascii="Verdana" w:eastAsia="Times New Roman" w:hAnsi="Verdana" w:cs="Times New Roman"/>
          <w:b/>
        </w:rPr>
        <w:t>му:</w:t>
      </w:r>
    </w:p>
    <w:p w14:paraId="3CC2EF77" w14:textId="119CEB24" w:rsidR="008216E0" w:rsidRPr="008216E0" w:rsidRDefault="008216E0" w:rsidP="003755A1">
      <w:pPr>
        <w:pStyle w:val="a9"/>
        <w:numPr>
          <w:ilvl w:val="0"/>
          <w:numId w:val="7"/>
        </w:numPr>
        <w:spacing w:after="120" w:line="240" w:lineRule="auto"/>
        <w:ind w:right="475"/>
        <w:jc w:val="both"/>
        <w:rPr>
          <w:rFonts w:ascii="Verdana" w:eastAsia="Times New Roman" w:hAnsi="Verdana" w:cs="Times New Roman"/>
        </w:rPr>
      </w:pPr>
      <w:r w:rsidRPr="008216E0">
        <w:rPr>
          <w:rFonts w:ascii="Verdana" w:eastAsia="Times New Roman" w:hAnsi="Verdana" w:cs="Times New Roman"/>
        </w:rPr>
        <w:t xml:space="preserve">Беларусь </w:t>
      </w:r>
      <w:r w:rsidR="006F6290">
        <w:rPr>
          <w:rFonts w:ascii="Verdana" w:eastAsia="Times New Roman" w:hAnsi="Verdana" w:cs="Times New Roman"/>
        </w:rPr>
        <w:t>–</w:t>
      </w:r>
      <w:r w:rsidRPr="008216E0">
        <w:rPr>
          <w:rFonts w:ascii="Verdana" w:eastAsia="Times New Roman" w:hAnsi="Verdana" w:cs="Times New Roman"/>
        </w:rPr>
        <w:t xml:space="preserve"> 2,4 млн м²</w:t>
      </w:r>
    </w:p>
    <w:p w14:paraId="1D69751C" w14:textId="128A3719" w:rsidR="008216E0" w:rsidRPr="008216E0" w:rsidRDefault="008216E0" w:rsidP="003755A1">
      <w:pPr>
        <w:pStyle w:val="a9"/>
        <w:numPr>
          <w:ilvl w:val="0"/>
          <w:numId w:val="7"/>
        </w:numPr>
        <w:spacing w:after="120" w:line="240" w:lineRule="auto"/>
        <w:ind w:right="475"/>
        <w:jc w:val="both"/>
        <w:rPr>
          <w:rFonts w:ascii="Verdana" w:eastAsia="Times New Roman" w:hAnsi="Verdana" w:cs="Times New Roman"/>
        </w:rPr>
      </w:pPr>
      <w:r w:rsidRPr="008216E0">
        <w:rPr>
          <w:rFonts w:ascii="Verdana" w:eastAsia="Times New Roman" w:hAnsi="Verdana" w:cs="Times New Roman"/>
        </w:rPr>
        <w:t xml:space="preserve">Казахстан </w:t>
      </w:r>
      <w:r w:rsidR="006F6290">
        <w:rPr>
          <w:rFonts w:ascii="Verdana" w:eastAsia="Times New Roman" w:hAnsi="Verdana" w:cs="Times New Roman"/>
        </w:rPr>
        <w:t>–</w:t>
      </w:r>
      <w:r w:rsidRPr="008216E0">
        <w:rPr>
          <w:rFonts w:ascii="Verdana" w:eastAsia="Times New Roman" w:hAnsi="Verdana" w:cs="Times New Roman"/>
        </w:rPr>
        <w:t xml:space="preserve"> 1,5 млн м²</w:t>
      </w:r>
    </w:p>
    <w:p w14:paraId="71BE7495" w14:textId="2DDA5EB0" w:rsidR="008216E0" w:rsidRDefault="008216E0" w:rsidP="003755A1">
      <w:pPr>
        <w:pStyle w:val="a9"/>
        <w:numPr>
          <w:ilvl w:val="0"/>
          <w:numId w:val="7"/>
        </w:numPr>
        <w:spacing w:after="120" w:line="240" w:lineRule="auto"/>
        <w:ind w:right="475"/>
        <w:jc w:val="both"/>
        <w:rPr>
          <w:rFonts w:ascii="Verdana" w:eastAsia="Times New Roman" w:hAnsi="Verdana" w:cs="Times New Roman"/>
        </w:rPr>
      </w:pPr>
      <w:r w:rsidRPr="008216E0">
        <w:rPr>
          <w:rFonts w:ascii="Verdana" w:eastAsia="Times New Roman" w:hAnsi="Verdana" w:cs="Times New Roman"/>
        </w:rPr>
        <w:t xml:space="preserve">Узбекистан </w:t>
      </w:r>
      <w:r w:rsidR="006F6290">
        <w:rPr>
          <w:rFonts w:ascii="Verdana" w:eastAsia="Times New Roman" w:hAnsi="Verdana" w:cs="Times New Roman"/>
        </w:rPr>
        <w:t>–</w:t>
      </w:r>
      <w:r w:rsidRPr="008216E0">
        <w:rPr>
          <w:rFonts w:ascii="Verdana" w:eastAsia="Times New Roman" w:hAnsi="Verdana" w:cs="Times New Roman"/>
        </w:rPr>
        <w:t xml:space="preserve"> 0,6 млн м²</w:t>
      </w:r>
    </w:p>
    <w:p w14:paraId="328B67EC" w14:textId="77777777" w:rsidR="008216E0" w:rsidRDefault="008216E0" w:rsidP="0088483C">
      <w:pPr>
        <w:spacing w:before="120" w:after="120" w:line="240" w:lineRule="auto"/>
        <w:jc w:val="both"/>
        <w:rPr>
          <w:rFonts w:ascii="Verdana" w:eastAsia="Times New Roman" w:hAnsi="Verdana" w:cs="Times New Roman"/>
        </w:rPr>
      </w:pPr>
      <w:r w:rsidRPr="0088483C">
        <w:rPr>
          <w:rFonts w:ascii="Verdana" w:eastAsia="Times New Roman" w:hAnsi="Verdana" w:cs="Times New Roman"/>
        </w:rPr>
        <w:t>В России (</w:t>
      </w:r>
      <w:r w:rsidRPr="0088483C">
        <w:rPr>
          <w:rFonts w:ascii="Verdana" w:eastAsia="Times New Roman" w:hAnsi="Verdana" w:cs="Times New Roman"/>
          <w:i/>
          <w:sz w:val="20"/>
        </w:rPr>
        <w:t>53 млн м²</w:t>
      </w:r>
      <w:r w:rsidRPr="0088483C">
        <w:rPr>
          <w:rFonts w:ascii="Verdana" w:eastAsia="Times New Roman" w:hAnsi="Verdana" w:cs="Times New Roman"/>
        </w:rPr>
        <w:t>) ввод новых площадей уже несколько лет подряд бь</w:t>
      </w:r>
      <w:r>
        <w:rPr>
          <w:rFonts w:ascii="Verdana" w:eastAsia="Times New Roman" w:hAnsi="Verdana" w:cs="Times New Roman"/>
        </w:rPr>
        <w:t>е</w:t>
      </w:r>
      <w:r w:rsidRPr="0088483C">
        <w:rPr>
          <w:rFonts w:ascii="Verdana" w:eastAsia="Times New Roman" w:hAnsi="Verdana" w:cs="Times New Roman"/>
        </w:rPr>
        <w:t>т рекорды.</w:t>
      </w:r>
    </w:p>
    <w:p w14:paraId="0E721544" w14:textId="1B2B9EEB" w:rsidR="00373CD5" w:rsidRDefault="0088483C" w:rsidP="00373CD5">
      <w:pPr>
        <w:spacing w:before="120" w:after="120" w:line="240" w:lineRule="auto"/>
        <w:jc w:val="both"/>
        <w:rPr>
          <w:rFonts w:ascii="Verdana" w:eastAsia="Times New Roman" w:hAnsi="Verdana" w:cs="Times New Roman"/>
        </w:rPr>
      </w:pPr>
      <w:r w:rsidRPr="0088483C">
        <w:rPr>
          <w:rFonts w:ascii="Verdana" w:eastAsia="Times New Roman" w:hAnsi="Verdana" w:cs="Times New Roman"/>
        </w:rPr>
        <w:t xml:space="preserve">В </w:t>
      </w:r>
      <w:r w:rsidR="0051376B">
        <w:rPr>
          <w:rFonts w:ascii="Verdana" w:eastAsia="Times New Roman" w:hAnsi="Verdana" w:cs="Times New Roman"/>
        </w:rPr>
        <w:t>этих</w:t>
      </w:r>
      <w:r w:rsidRPr="0088483C">
        <w:rPr>
          <w:rFonts w:ascii="Verdana" w:eastAsia="Times New Roman" w:hAnsi="Verdana" w:cs="Times New Roman"/>
        </w:rPr>
        <w:t xml:space="preserve"> </w:t>
      </w:r>
      <w:r w:rsidR="0051376B">
        <w:rPr>
          <w:rFonts w:ascii="Verdana" w:eastAsia="Times New Roman" w:hAnsi="Verdana" w:cs="Times New Roman"/>
        </w:rPr>
        <w:t xml:space="preserve">четырех </w:t>
      </w:r>
      <w:r w:rsidRPr="0088483C">
        <w:rPr>
          <w:rFonts w:ascii="Verdana" w:eastAsia="Times New Roman" w:hAnsi="Verdana" w:cs="Times New Roman"/>
        </w:rPr>
        <w:t xml:space="preserve">странах наблюдается настоящий строительный бум, местами </w:t>
      </w:r>
      <w:r>
        <w:rPr>
          <w:rFonts w:ascii="Verdana" w:eastAsia="Times New Roman" w:hAnsi="Verdana" w:cs="Times New Roman"/>
        </w:rPr>
        <w:t xml:space="preserve">– </w:t>
      </w:r>
      <w:r w:rsidRPr="0088483C">
        <w:rPr>
          <w:rFonts w:ascii="Verdana" w:eastAsia="Times New Roman" w:hAnsi="Verdana" w:cs="Times New Roman"/>
        </w:rPr>
        <w:t>признаки перегрева рынка: снижение арендных ставок и рост обеспеченности. В других государствах</w:t>
      </w:r>
      <w:r>
        <w:rPr>
          <w:rFonts w:ascii="Verdana" w:eastAsia="Times New Roman" w:hAnsi="Verdana" w:cs="Times New Roman"/>
        </w:rPr>
        <w:t xml:space="preserve"> </w:t>
      </w:r>
      <w:r w:rsidRPr="0088483C">
        <w:rPr>
          <w:rFonts w:ascii="Verdana" w:eastAsia="Times New Roman" w:hAnsi="Verdana" w:cs="Times New Roman"/>
        </w:rPr>
        <w:t>формируется только начальный этап развития складского сектора.</w:t>
      </w:r>
      <w:r>
        <w:rPr>
          <w:rFonts w:ascii="Verdana" w:eastAsia="Times New Roman" w:hAnsi="Verdana" w:cs="Times New Roman"/>
        </w:rPr>
        <w:t xml:space="preserve"> </w:t>
      </w:r>
      <w:r w:rsidR="00372B82">
        <w:rPr>
          <w:rFonts w:ascii="Verdana" w:eastAsia="Times New Roman" w:hAnsi="Verdana" w:cs="Times New Roman"/>
        </w:rPr>
        <w:t xml:space="preserve">Показатели обеспеченности на душу населения в регионе </w:t>
      </w:r>
      <w:r w:rsidR="00372B82" w:rsidRPr="00E6439D">
        <w:rPr>
          <w:rFonts w:ascii="Verdana" w:eastAsia="Times New Roman" w:hAnsi="Verdana" w:cs="Times New Roman"/>
        </w:rPr>
        <w:t>(</w:t>
      </w:r>
      <w:r w:rsidR="00372B82" w:rsidRPr="00863CFB">
        <w:rPr>
          <w:rFonts w:ascii="Verdana" w:eastAsia="Times New Roman" w:hAnsi="Verdana" w:cs="Times New Roman"/>
          <w:i/>
          <w:sz w:val="20"/>
        </w:rPr>
        <w:t xml:space="preserve">в </w:t>
      </w:r>
      <w:r w:rsidR="00372B82">
        <w:rPr>
          <w:rFonts w:ascii="Verdana" w:eastAsia="Times New Roman" w:hAnsi="Verdana" w:cs="Times New Roman"/>
          <w:i/>
          <w:sz w:val="20"/>
        </w:rPr>
        <w:t xml:space="preserve">исследование включены: </w:t>
      </w:r>
      <w:r w:rsidR="00372B82" w:rsidRPr="002C6F28">
        <w:rPr>
          <w:rFonts w:ascii="Verdana" w:eastAsia="Times New Roman" w:hAnsi="Verdana" w:cs="Times New Roman"/>
          <w:i/>
          <w:sz w:val="20"/>
        </w:rPr>
        <w:t>Азербайджан, Армения, Беларусь, Грузия, Казахстан, Кыргызстан, Таджикистан, Туркменистан,</w:t>
      </w:r>
      <w:r w:rsidR="00372B82">
        <w:rPr>
          <w:rFonts w:ascii="Verdana" w:eastAsia="Times New Roman" w:hAnsi="Verdana" w:cs="Times New Roman"/>
          <w:i/>
          <w:sz w:val="20"/>
        </w:rPr>
        <w:t xml:space="preserve"> Россия и Узбекистан</w:t>
      </w:r>
      <w:r w:rsidR="00372B82" w:rsidRPr="00E6439D">
        <w:rPr>
          <w:rFonts w:ascii="Verdana" w:eastAsia="Times New Roman" w:hAnsi="Verdana" w:cs="Times New Roman"/>
        </w:rPr>
        <w:t>)</w:t>
      </w:r>
      <w:r w:rsidR="00372B82">
        <w:rPr>
          <w:rFonts w:ascii="Verdana" w:eastAsia="Times New Roman" w:hAnsi="Verdana" w:cs="Times New Roman"/>
        </w:rPr>
        <w:t xml:space="preserve"> находятся на крайне низких уровнях (</w:t>
      </w:r>
      <w:r w:rsidR="00372B82" w:rsidRPr="00372B82">
        <w:rPr>
          <w:rFonts w:ascii="Verdana" w:eastAsia="Times New Roman" w:hAnsi="Verdana" w:cs="Times New Roman"/>
          <w:i/>
          <w:sz w:val="20"/>
        </w:rPr>
        <w:t>0,23 м</w:t>
      </w:r>
      <w:r w:rsidR="00372B82" w:rsidRPr="00372B82">
        <w:rPr>
          <w:rFonts w:ascii="Verdana" w:eastAsia="Times New Roman" w:hAnsi="Verdana" w:cs="Times New Roman"/>
          <w:i/>
          <w:sz w:val="20"/>
          <w:vertAlign w:val="superscript"/>
        </w:rPr>
        <w:t>2</w:t>
      </w:r>
      <w:r w:rsidR="00372B82" w:rsidRPr="00372B82">
        <w:rPr>
          <w:rFonts w:ascii="Verdana" w:eastAsia="Times New Roman" w:hAnsi="Verdana" w:cs="Times New Roman"/>
          <w:i/>
          <w:sz w:val="20"/>
        </w:rPr>
        <w:t xml:space="preserve"> на душу населения</w:t>
      </w:r>
      <w:r w:rsidR="00372B82">
        <w:rPr>
          <w:rFonts w:ascii="Verdana" w:eastAsia="Times New Roman" w:hAnsi="Verdana" w:cs="Times New Roman"/>
          <w:i/>
          <w:sz w:val="20"/>
        </w:rPr>
        <w:t xml:space="preserve"> в среднем</w:t>
      </w:r>
      <w:r w:rsidR="00372B82">
        <w:rPr>
          <w:rFonts w:ascii="Verdana" w:eastAsia="Times New Roman" w:hAnsi="Verdana" w:cs="Times New Roman"/>
        </w:rPr>
        <w:t>). Регион</w:t>
      </w:r>
      <w:r w:rsidR="00863CFB">
        <w:rPr>
          <w:rFonts w:ascii="Verdana" w:eastAsia="Times New Roman" w:hAnsi="Verdana" w:cs="Times New Roman"/>
        </w:rPr>
        <w:t xml:space="preserve"> </w:t>
      </w:r>
      <w:r w:rsidRPr="0088483C">
        <w:rPr>
          <w:rFonts w:ascii="Verdana" w:eastAsia="Times New Roman" w:hAnsi="Verdana" w:cs="Times New Roman"/>
        </w:rPr>
        <w:t>долго остававшийся на периферии глобальных логистических потоков, сегодня созда</w:t>
      </w:r>
      <w:r>
        <w:rPr>
          <w:rFonts w:ascii="Verdana" w:eastAsia="Times New Roman" w:hAnsi="Verdana" w:cs="Times New Roman"/>
        </w:rPr>
        <w:t>е</w:t>
      </w:r>
      <w:r w:rsidRPr="0088483C">
        <w:rPr>
          <w:rFonts w:ascii="Verdana" w:eastAsia="Times New Roman" w:hAnsi="Verdana" w:cs="Times New Roman"/>
        </w:rPr>
        <w:t xml:space="preserve">т новую карту евразийской логистики. В ближайшие годы заявлено к вводу более 20 млн м² складов, в том числе 1,6 млн м² </w:t>
      </w:r>
      <w:r>
        <w:rPr>
          <w:rFonts w:ascii="Verdana" w:eastAsia="Times New Roman" w:hAnsi="Verdana" w:cs="Times New Roman"/>
        </w:rPr>
        <w:t>-</w:t>
      </w:r>
      <w:r w:rsidRPr="0088483C">
        <w:rPr>
          <w:rFonts w:ascii="Verdana" w:eastAsia="Times New Roman" w:hAnsi="Verdana" w:cs="Times New Roman"/>
        </w:rPr>
        <w:t xml:space="preserve"> в странах Центральной Азии.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39"/>
        <w:gridCol w:w="4840"/>
      </w:tblGrid>
      <w:tr w:rsidR="00CC26DE" w14:paraId="38BD0297" w14:textId="77777777" w:rsidTr="00CC26DE">
        <w:tc>
          <w:tcPr>
            <w:tcW w:w="4839" w:type="dxa"/>
            <w:shd w:val="clear" w:color="auto" w:fill="D9D9D9" w:themeFill="background1" w:themeFillShade="D9"/>
          </w:tcPr>
          <w:p w14:paraId="247FC8C7" w14:textId="6BE9A558" w:rsidR="00CC26DE" w:rsidRPr="00CC26DE" w:rsidRDefault="00CC26DE" w:rsidP="00CC26DE">
            <w:pPr>
              <w:rPr>
                <w:rFonts w:ascii="Verdana" w:eastAsia="Times New Roman" w:hAnsi="Verdana" w:cs="Times New Roman"/>
                <w:b/>
              </w:rPr>
            </w:pPr>
            <w:r w:rsidRPr="00CC26DE">
              <w:rPr>
                <w:rFonts w:ascii="Verdana" w:eastAsia="Times New Roman" w:hAnsi="Verdana" w:cs="Times New Roman"/>
                <w:b/>
              </w:rPr>
              <w:t>Обеспеченность складскими помещениями</w:t>
            </w:r>
            <w:r>
              <w:rPr>
                <w:rFonts w:ascii="Verdana" w:eastAsia="Times New Roman" w:hAnsi="Verdana" w:cs="Times New Roman"/>
                <w:b/>
              </w:rPr>
              <w:t xml:space="preserve"> </w:t>
            </w:r>
            <w:r w:rsidRPr="00CC26DE">
              <w:rPr>
                <w:rFonts w:ascii="Verdana" w:eastAsia="Times New Roman" w:hAnsi="Verdana" w:cs="Times New Roman"/>
                <w:b/>
              </w:rPr>
              <w:t>в Евразийском регионе, м</w:t>
            </w:r>
            <w:r w:rsidRPr="00CC26DE">
              <w:rPr>
                <w:rFonts w:ascii="Verdana" w:eastAsia="Times New Roman" w:hAnsi="Verdana" w:cs="Times New Roman"/>
                <w:b/>
                <w:vertAlign w:val="superscript"/>
              </w:rPr>
              <w:t>2</w:t>
            </w:r>
            <w:r w:rsidRPr="00CC26DE">
              <w:rPr>
                <w:rFonts w:ascii="Verdana" w:eastAsia="Times New Roman" w:hAnsi="Verdana" w:cs="Times New Roman"/>
                <w:b/>
              </w:rPr>
              <w:t>/чел.</w:t>
            </w:r>
          </w:p>
          <w:p w14:paraId="69F87E7D" w14:textId="77777777" w:rsidR="00CC26DE" w:rsidRDefault="00CC26DE" w:rsidP="00CC26DE">
            <w:pPr>
              <w:jc w:val="both"/>
              <w:rPr>
                <w:rFonts w:ascii="Verdana" w:eastAsia="Times New Roman" w:hAnsi="Verdana" w:cs="Times New Roman"/>
              </w:rPr>
            </w:pPr>
            <w:r w:rsidRPr="00CC26DE">
              <w:rPr>
                <w:rFonts w:ascii="Verdana" w:eastAsia="Times New Roman" w:hAnsi="Verdana" w:cs="Times New Roman"/>
                <w:noProof/>
                <w:lang w:eastAsia="ru-RU"/>
              </w:rPr>
              <w:drawing>
                <wp:inline distT="0" distB="0" distL="0" distR="0" wp14:anchorId="0606B636" wp14:editId="17F5D822">
                  <wp:extent cx="2905125" cy="2886075"/>
                  <wp:effectExtent l="0" t="0" r="9525" b="9525"/>
                  <wp:docPr id="3" name="Рисунок 3" descr="N:\Дирекция по аналитической работе\Проекты\2025 Склады и логистика\Инфографика\Готовая\EDB_WI_Graph_2025-10-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Дирекция по аналитической работе\Проекты\2025 Склады и логистика\Инфографика\Готовая\EDB_WI_Graph_2025-10-09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5125" cy="2886075"/>
                          </a:xfrm>
                          <a:prstGeom prst="rect">
                            <a:avLst/>
                          </a:prstGeom>
                          <a:noFill/>
                          <a:ln>
                            <a:noFill/>
                          </a:ln>
                        </pic:spPr>
                      </pic:pic>
                    </a:graphicData>
                  </a:graphic>
                </wp:inline>
              </w:drawing>
            </w:r>
          </w:p>
          <w:p w14:paraId="60EBF1BE" w14:textId="31E60F2E" w:rsidR="00CC26DE" w:rsidRDefault="00CC26DE" w:rsidP="00CC26DE">
            <w:pPr>
              <w:jc w:val="both"/>
              <w:rPr>
                <w:rFonts w:ascii="Verdana" w:eastAsia="Times New Roman" w:hAnsi="Verdana" w:cs="Times New Roman"/>
              </w:rPr>
            </w:pPr>
            <w:r w:rsidRPr="00CC26DE">
              <w:rPr>
                <w:rFonts w:ascii="Verdana" w:eastAsia="Times New Roman" w:hAnsi="Verdana" w:cs="Times New Roman"/>
                <w:b/>
                <w:sz w:val="20"/>
              </w:rPr>
              <w:t>Источник</w:t>
            </w:r>
            <w:r w:rsidRPr="00CC26DE">
              <w:rPr>
                <w:rFonts w:ascii="Verdana" w:eastAsia="Times New Roman" w:hAnsi="Verdana" w:cs="Times New Roman"/>
                <w:sz w:val="20"/>
              </w:rPr>
              <w:t>: расчеты экспертов ЕАБР и CMWP.</w:t>
            </w:r>
          </w:p>
        </w:tc>
        <w:tc>
          <w:tcPr>
            <w:tcW w:w="4840" w:type="dxa"/>
            <w:shd w:val="clear" w:color="auto" w:fill="D9D9D9" w:themeFill="background1" w:themeFillShade="D9"/>
          </w:tcPr>
          <w:p w14:paraId="011187D6" w14:textId="1E0E78A8" w:rsidR="00CC26DE" w:rsidRPr="00CC26DE" w:rsidRDefault="00CC26DE" w:rsidP="00CC26DE">
            <w:pPr>
              <w:rPr>
                <w:rFonts w:ascii="Verdana" w:eastAsia="Times New Roman" w:hAnsi="Verdana" w:cs="Times New Roman"/>
                <w:b/>
              </w:rPr>
            </w:pPr>
            <w:r w:rsidRPr="00CC26DE">
              <w:rPr>
                <w:rFonts w:ascii="Verdana" w:eastAsia="Times New Roman" w:hAnsi="Verdana" w:cs="Times New Roman"/>
                <w:b/>
              </w:rPr>
              <w:t>Прогноз спроса на складскую инфраструктуру в Евразийском регионе, тыс. м</w:t>
            </w:r>
            <w:r w:rsidRPr="00CC26DE">
              <w:rPr>
                <w:rFonts w:ascii="Verdana" w:eastAsia="Times New Roman" w:hAnsi="Verdana" w:cs="Times New Roman"/>
                <w:b/>
                <w:vertAlign w:val="superscript"/>
              </w:rPr>
              <w:t>2</w:t>
            </w:r>
          </w:p>
          <w:p w14:paraId="200D65A2" w14:textId="2B6A0EDF" w:rsidR="00CC26DE" w:rsidRDefault="00CC26DE" w:rsidP="00CC26DE">
            <w:pPr>
              <w:jc w:val="both"/>
              <w:rPr>
                <w:rFonts w:ascii="Verdana" w:eastAsia="Times New Roman" w:hAnsi="Verdana" w:cs="Times New Roman"/>
              </w:rPr>
            </w:pPr>
            <w:r w:rsidRPr="00CC26DE">
              <w:rPr>
                <w:rFonts w:ascii="Verdana" w:eastAsia="Times New Roman" w:hAnsi="Verdana" w:cs="Times New Roman"/>
                <w:noProof/>
                <w:lang w:eastAsia="ru-RU"/>
              </w:rPr>
              <w:drawing>
                <wp:inline distT="0" distB="0" distL="0" distR="0" wp14:anchorId="27B3D8C8" wp14:editId="707DF698">
                  <wp:extent cx="2905125" cy="2886075"/>
                  <wp:effectExtent l="0" t="0" r="9525" b="9525"/>
                  <wp:docPr id="1" name="Рисунок 1" descr="N:\Дирекция по аналитической работе\Проекты\2025 Склады и логистика\Инфографика\Готовая\EDB_WI_Graph_2025-10-09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Дирекция по аналитической работе\Проекты\2025 Склады и логистика\Инфографика\Готовая\EDB_WI_Graph_2025-10-09_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5125" cy="2886075"/>
                          </a:xfrm>
                          <a:prstGeom prst="rect">
                            <a:avLst/>
                          </a:prstGeom>
                          <a:noFill/>
                          <a:ln>
                            <a:noFill/>
                          </a:ln>
                        </pic:spPr>
                      </pic:pic>
                    </a:graphicData>
                  </a:graphic>
                </wp:inline>
              </w:drawing>
            </w:r>
          </w:p>
          <w:p w14:paraId="56A5FBE2" w14:textId="13234ED8" w:rsidR="00CC26DE" w:rsidRDefault="00CC26DE" w:rsidP="00CC26DE">
            <w:pPr>
              <w:jc w:val="both"/>
              <w:rPr>
                <w:rFonts w:ascii="Verdana" w:eastAsia="Times New Roman" w:hAnsi="Verdana" w:cs="Times New Roman"/>
              </w:rPr>
            </w:pPr>
            <w:r w:rsidRPr="00CC26DE">
              <w:rPr>
                <w:rFonts w:ascii="Verdana" w:eastAsia="Times New Roman" w:hAnsi="Verdana" w:cs="Times New Roman"/>
                <w:b/>
                <w:sz w:val="20"/>
              </w:rPr>
              <w:t>Источник</w:t>
            </w:r>
            <w:r w:rsidRPr="00CC26DE">
              <w:rPr>
                <w:rFonts w:ascii="Verdana" w:eastAsia="Times New Roman" w:hAnsi="Verdana" w:cs="Times New Roman"/>
                <w:sz w:val="20"/>
              </w:rPr>
              <w:t>: расчеты экспертов ЕАБР и CMWP.</w:t>
            </w:r>
          </w:p>
        </w:tc>
      </w:tr>
    </w:tbl>
    <w:p w14:paraId="4BFC6DC2" w14:textId="77777777" w:rsidR="00CC26DE" w:rsidRDefault="00CC26DE" w:rsidP="00373CD5">
      <w:pPr>
        <w:spacing w:before="120" w:after="120" w:line="240" w:lineRule="auto"/>
        <w:jc w:val="both"/>
        <w:rPr>
          <w:rFonts w:ascii="Verdana" w:eastAsia="Times New Roman" w:hAnsi="Verdana" w:cs="Times New Roman"/>
          <w:b/>
        </w:rPr>
      </w:pPr>
    </w:p>
    <w:p w14:paraId="175B328F" w14:textId="46E7F706" w:rsidR="00B570A5" w:rsidRPr="00B570A5" w:rsidRDefault="00B570A5" w:rsidP="00373CD5">
      <w:pPr>
        <w:spacing w:before="120" w:after="120" w:line="240" w:lineRule="auto"/>
        <w:jc w:val="both"/>
        <w:rPr>
          <w:rFonts w:ascii="Verdana" w:eastAsia="Times New Roman" w:hAnsi="Verdana" w:cs="Times New Roman"/>
          <w:b/>
        </w:rPr>
      </w:pPr>
      <w:r w:rsidRPr="0016664F">
        <w:rPr>
          <w:rFonts w:ascii="Verdana" w:eastAsia="Times New Roman" w:hAnsi="Verdana" w:cs="Times New Roman"/>
          <w:b/>
        </w:rPr>
        <w:lastRenderedPageBreak/>
        <w:t>Новая география торговли и «догоняющий рост»</w:t>
      </w:r>
    </w:p>
    <w:p w14:paraId="20AF60DB" w14:textId="21C3491C" w:rsidR="008216E0" w:rsidRDefault="0088483C" w:rsidP="0088483C">
      <w:pPr>
        <w:spacing w:before="120" w:after="120" w:line="240" w:lineRule="auto"/>
        <w:jc w:val="both"/>
        <w:rPr>
          <w:rFonts w:ascii="Verdana" w:eastAsia="Times New Roman" w:hAnsi="Verdana" w:cs="Times New Roman"/>
        </w:rPr>
      </w:pPr>
      <w:r w:rsidRPr="0088483C">
        <w:rPr>
          <w:rFonts w:ascii="Verdana" w:eastAsia="Times New Roman" w:hAnsi="Verdana" w:cs="Times New Roman"/>
        </w:rPr>
        <w:t xml:space="preserve">Стремительная трансформация происходит под влиянием новых тенденций в торговле и технологиях, усиленных эффектом догоняющего роста. После 2022 </w:t>
      </w:r>
      <w:r>
        <w:rPr>
          <w:rFonts w:ascii="Verdana" w:eastAsia="Times New Roman" w:hAnsi="Verdana" w:cs="Times New Roman"/>
        </w:rPr>
        <w:t>г.</w:t>
      </w:r>
      <w:r w:rsidRPr="0088483C">
        <w:rPr>
          <w:rFonts w:ascii="Verdana" w:eastAsia="Times New Roman" w:hAnsi="Verdana" w:cs="Times New Roman"/>
        </w:rPr>
        <w:t xml:space="preserve"> изменилась география мировой торговли, и Евразийский регион стал одним из ключ</w:t>
      </w:r>
      <w:r w:rsidR="006F6290">
        <w:rPr>
          <w:rFonts w:ascii="Verdana" w:eastAsia="Times New Roman" w:hAnsi="Verdana" w:cs="Times New Roman"/>
        </w:rPr>
        <w:t>евых бенефициаров этих сдвигов.</w:t>
      </w:r>
    </w:p>
    <w:p w14:paraId="03238149" w14:textId="3E693A46" w:rsidR="008216E0" w:rsidRPr="008216E0" w:rsidRDefault="008216E0" w:rsidP="008216E0">
      <w:pPr>
        <w:spacing w:before="120" w:after="120" w:line="240" w:lineRule="auto"/>
        <w:jc w:val="both"/>
        <w:rPr>
          <w:rFonts w:ascii="Verdana" w:eastAsia="Times New Roman" w:hAnsi="Verdana" w:cs="Times New Roman"/>
        </w:rPr>
      </w:pPr>
      <w:r w:rsidRPr="008216E0">
        <w:rPr>
          <w:rFonts w:ascii="Verdana" w:eastAsia="Times New Roman" w:hAnsi="Verdana" w:cs="Times New Roman"/>
        </w:rPr>
        <w:t>По прогнозам ЕАБР, объ</w:t>
      </w:r>
      <w:r w:rsidR="0051376B">
        <w:rPr>
          <w:rFonts w:ascii="Verdana" w:eastAsia="Times New Roman" w:hAnsi="Verdana" w:cs="Times New Roman"/>
        </w:rPr>
        <w:t>е</w:t>
      </w:r>
      <w:r w:rsidRPr="008216E0">
        <w:rPr>
          <w:rFonts w:ascii="Verdana" w:eastAsia="Times New Roman" w:hAnsi="Verdana" w:cs="Times New Roman"/>
        </w:rPr>
        <w:t>м внешней торговли стран региона вырастет:</w:t>
      </w:r>
    </w:p>
    <w:p w14:paraId="04238B31" w14:textId="77777777" w:rsidR="008216E0" w:rsidRPr="008F119F" w:rsidRDefault="008216E0" w:rsidP="008F119F">
      <w:pPr>
        <w:pStyle w:val="a9"/>
        <w:numPr>
          <w:ilvl w:val="0"/>
          <w:numId w:val="8"/>
        </w:numPr>
        <w:spacing w:before="120" w:after="120" w:line="240" w:lineRule="auto"/>
        <w:jc w:val="both"/>
        <w:rPr>
          <w:rFonts w:ascii="Verdana" w:eastAsia="Times New Roman" w:hAnsi="Verdana" w:cs="Times New Roman"/>
        </w:rPr>
      </w:pPr>
      <w:r w:rsidRPr="009D22A1">
        <w:rPr>
          <w:rFonts w:ascii="Verdana" w:eastAsia="Times New Roman" w:hAnsi="Verdana" w:cs="Times New Roman"/>
          <w:b/>
        </w:rPr>
        <w:t>с 1 278 млн тонн</w:t>
      </w:r>
      <w:r w:rsidRPr="008F119F">
        <w:rPr>
          <w:rFonts w:ascii="Verdana" w:eastAsia="Times New Roman" w:hAnsi="Verdana" w:cs="Times New Roman"/>
        </w:rPr>
        <w:t xml:space="preserve"> в 2023 г.</w:t>
      </w:r>
    </w:p>
    <w:p w14:paraId="629F76B9" w14:textId="77777777" w:rsidR="008216E0" w:rsidRPr="008F119F" w:rsidRDefault="008216E0" w:rsidP="008F119F">
      <w:pPr>
        <w:pStyle w:val="a9"/>
        <w:numPr>
          <w:ilvl w:val="0"/>
          <w:numId w:val="8"/>
        </w:numPr>
        <w:spacing w:before="120" w:after="120" w:line="240" w:lineRule="auto"/>
        <w:jc w:val="both"/>
        <w:rPr>
          <w:rFonts w:ascii="Verdana" w:eastAsia="Times New Roman" w:hAnsi="Verdana" w:cs="Times New Roman"/>
        </w:rPr>
      </w:pPr>
      <w:r w:rsidRPr="009D22A1">
        <w:rPr>
          <w:rFonts w:ascii="Verdana" w:eastAsia="Times New Roman" w:hAnsi="Verdana" w:cs="Times New Roman"/>
          <w:b/>
        </w:rPr>
        <w:t>до 1 420–1 809 млн тонн</w:t>
      </w:r>
      <w:r w:rsidRPr="008F119F">
        <w:rPr>
          <w:rFonts w:ascii="Verdana" w:eastAsia="Times New Roman" w:hAnsi="Verdana" w:cs="Times New Roman"/>
        </w:rPr>
        <w:t xml:space="preserve"> к 2040 г.</w:t>
      </w:r>
    </w:p>
    <w:p w14:paraId="1A9A7037" w14:textId="0A676BA9" w:rsidR="008216E0" w:rsidRPr="008216E0" w:rsidRDefault="008216E0" w:rsidP="008216E0">
      <w:pPr>
        <w:spacing w:after="120" w:line="240" w:lineRule="auto"/>
        <w:ind w:right="475"/>
        <w:jc w:val="both"/>
        <w:rPr>
          <w:rFonts w:ascii="Verdana" w:eastAsia="Times New Roman" w:hAnsi="Verdana" w:cs="Times New Roman"/>
        </w:rPr>
      </w:pPr>
      <w:r w:rsidRPr="008216E0">
        <w:rPr>
          <w:rFonts w:ascii="Verdana" w:eastAsia="Times New Roman" w:hAnsi="Verdana" w:cs="Times New Roman"/>
        </w:rPr>
        <w:t xml:space="preserve">Кроме того, меняется качественная структура грузопотоков </w:t>
      </w:r>
      <w:r w:rsidR="006F6290">
        <w:rPr>
          <w:rFonts w:ascii="Verdana" w:eastAsia="Times New Roman" w:hAnsi="Verdana" w:cs="Times New Roman"/>
        </w:rPr>
        <w:t>–</w:t>
      </w:r>
      <w:r w:rsidRPr="008216E0">
        <w:rPr>
          <w:rFonts w:ascii="Verdana" w:eastAsia="Times New Roman" w:hAnsi="Verdana" w:cs="Times New Roman"/>
        </w:rPr>
        <w:t xml:space="preserve"> в</w:t>
      </w:r>
      <w:r w:rsidR="006F6290">
        <w:rPr>
          <w:rFonts w:ascii="Verdana" w:eastAsia="Times New Roman" w:hAnsi="Verdana" w:cs="Times New Roman"/>
        </w:rPr>
        <w:t xml:space="preserve"> </w:t>
      </w:r>
      <w:r w:rsidRPr="008216E0">
        <w:rPr>
          <w:rFonts w:ascii="Verdana" w:eastAsia="Times New Roman" w:hAnsi="Verdana" w:cs="Times New Roman"/>
        </w:rPr>
        <w:t>сторону несырьевых товаров.</w:t>
      </w:r>
      <w:r w:rsidR="004B31E9">
        <w:rPr>
          <w:rFonts w:ascii="Verdana" w:eastAsia="Times New Roman" w:hAnsi="Verdana" w:cs="Times New Roman"/>
        </w:rPr>
        <w:t xml:space="preserve"> </w:t>
      </w:r>
      <w:r w:rsidRPr="008216E0">
        <w:rPr>
          <w:rFonts w:ascii="Verdana" w:eastAsia="Times New Roman" w:hAnsi="Verdana" w:cs="Times New Roman"/>
        </w:rPr>
        <w:t>Это требует активного развития:</w:t>
      </w:r>
    </w:p>
    <w:p w14:paraId="31CFB071" w14:textId="77777777" w:rsidR="008216E0" w:rsidRPr="0016664F" w:rsidRDefault="008216E0" w:rsidP="0016664F">
      <w:pPr>
        <w:pStyle w:val="a9"/>
        <w:numPr>
          <w:ilvl w:val="0"/>
          <w:numId w:val="7"/>
        </w:numPr>
        <w:spacing w:after="120" w:line="240" w:lineRule="auto"/>
        <w:ind w:right="475"/>
        <w:jc w:val="both"/>
        <w:rPr>
          <w:rFonts w:ascii="Verdana" w:eastAsia="Times New Roman" w:hAnsi="Verdana" w:cs="Times New Roman"/>
        </w:rPr>
      </w:pPr>
      <w:r w:rsidRPr="0016664F">
        <w:rPr>
          <w:rFonts w:ascii="Verdana" w:eastAsia="Times New Roman" w:hAnsi="Verdana" w:cs="Times New Roman"/>
        </w:rPr>
        <w:t>мультимодальных хабов</w:t>
      </w:r>
    </w:p>
    <w:p w14:paraId="07B0BD50" w14:textId="77777777" w:rsidR="008216E0" w:rsidRPr="0016664F" w:rsidRDefault="008216E0" w:rsidP="0016664F">
      <w:pPr>
        <w:pStyle w:val="a9"/>
        <w:numPr>
          <w:ilvl w:val="0"/>
          <w:numId w:val="7"/>
        </w:numPr>
        <w:spacing w:after="120" w:line="240" w:lineRule="auto"/>
        <w:ind w:right="475"/>
        <w:jc w:val="both"/>
        <w:rPr>
          <w:rFonts w:ascii="Verdana" w:eastAsia="Times New Roman" w:hAnsi="Verdana" w:cs="Times New Roman"/>
        </w:rPr>
      </w:pPr>
      <w:r w:rsidRPr="0016664F">
        <w:rPr>
          <w:rFonts w:ascii="Verdana" w:eastAsia="Times New Roman" w:hAnsi="Verdana" w:cs="Times New Roman"/>
        </w:rPr>
        <w:t>«сухих портов»</w:t>
      </w:r>
    </w:p>
    <w:p w14:paraId="225B6CDF" w14:textId="77777777" w:rsidR="008216E0" w:rsidRPr="0016664F" w:rsidRDefault="008216E0" w:rsidP="0016664F">
      <w:pPr>
        <w:pStyle w:val="a9"/>
        <w:numPr>
          <w:ilvl w:val="0"/>
          <w:numId w:val="7"/>
        </w:numPr>
        <w:spacing w:after="120" w:line="240" w:lineRule="auto"/>
        <w:ind w:right="475"/>
        <w:jc w:val="both"/>
        <w:rPr>
          <w:rFonts w:ascii="Verdana" w:eastAsia="Times New Roman" w:hAnsi="Verdana" w:cs="Times New Roman"/>
        </w:rPr>
      </w:pPr>
      <w:r w:rsidRPr="0016664F">
        <w:rPr>
          <w:rFonts w:ascii="Verdana" w:eastAsia="Times New Roman" w:hAnsi="Verdana" w:cs="Times New Roman"/>
        </w:rPr>
        <w:t>пограничных терминалов</w:t>
      </w:r>
    </w:p>
    <w:p w14:paraId="286C7371" w14:textId="77777777" w:rsidR="008216E0" w:rsidRPr="0016664F" w:rsidRDefault="008216E0" w:rsidP="0016664F">
      <w:pPr>
        <w:pStyle w:val="a9"/>
        <w:numPr>
          <w:ilvl w:val="0"/>
          <w:numId w:val="7"/>
        </w:numPr>
        <w:spacing w:after="120" w:line="240" w:lineRule="auto"/>
        <w:ind w:right="475"/>
        <w:jc w:val="both"/>
        <w:rPr>
          <w:rFonts w:ascii="Verdana" w:eastAsia="Times New Roman" w:hAnsi="Verdana" w:cs="Times New Roman"/>
        </w:rPr>
      </w:pPr>
      <w:r w:rsidRPr="0016664F">
        <w:rPr>
          <w:rFonts w:ascii="Verdana" w:eastAsia="Times New Roman" w:hAnsi="Verdana" w:cs="Times New Roman"/>
        </w:rPr>
        <w:t>распределительных центров вдоль международных транспортных коридоров</w:t>
      </w:r>
      <w:r w:rsidR="004B31E9" w:rsidRPr="0016664F">
        <w:rPr>
          <w:rFonts w:ascii="Verdana" w:eastAsia="Times New Roman" w:hAnsi="Verdana" w:cs="Times New Roman"/>
        </w:rPr>
        <w:t>.</w:t>
      </w:r>
    </w:p>
    <w:p w14:paraId="63957404" w14:textId="77777777" w:rsidR="00B830C4" w:rsidRPr="00B830C4" w:rsidRDefault="00B830C4" w:rsidP="00B830C4">
      <w:pPr>
        <w:spacing w:after="120" w:line="240" w:lineRule="auto"/>
        <w:ind w:right="475"/>
        <w:jc w:val="both"/>
        <w:rPr>
          <w:rFonts w:ascii="Verdana" w:eastAsia="Calibri" w:hAnsi="Verdana" w:cs="BrownLLCyr-Medium"/>
          <w:b/>
        </w:rPr>
      </w:pPr>
      <w:r w:rsidRPr="00B830C4">
        <w:rPr>
          <w:rFonts w:ascii="Verdana" w:eastAsia="Calibri" w:hAnsi="Verdana" w:cs="BrownLLCyr-Medium"/>
          <w:b/>
        </w:rPr>
        <w:t>Евгений Винокуров, главный экономист ЕАБР:</w:t>
      </w:r>
    </w:p>
    <w:p w14:paraId="1E8A9FB4" w14:textId="02E23F19" w:rsidR="00B830C4" w:rsidRPr="00E4288E" w:rsidRDefault="00B830C4" w:rsidP="00B830C4">
      <w:pPr>
        <w:spacing w:after="120" w:line="240" w:lineRule="auto"/>
        <w:ind w:right="475"/>
        <w:jc w:val="both"/>
        <w:rPr>
          <w:rFonts w:ascii="Verdana" w:eastAsia="Calibri" w:hAnsi="Verdana" w:cs="BrownLLCyr-Medium"/>
          <w:i/>
        </w:rPr>
      </w:pPr>
      <w:r w:rsidRPr="00E4288E">
        <w:rPr>
          <w:rFonts w:ascii="Verdana" w:eastAsia="Calibri" w:hAnsi="Verdana" w:cs="BrownLLCyr-Medium"/>
          <w:i/>
        </w:rPr>
        <w:t>«</w:t>
      </w:r>
      <w:r w:rsidR="00E6439D" w:rsidRPr="00E4288E">
        <w:rPr>
          <w:rFonts w:ascii="Verdana" w:eastAsia="Calibri" w:hAnsi="Verdana" w:cs="BrownLLCyr-Medium"/>
          <w:i/>
        </w:rPr>
        <w:t>На логистику и складские операции приходится до ¼ добавленной стоимости в глобальных цепочках</w:t>
      </w:r>
      <w:r w:rsidR="00E6439D">
        <w:rPr>
          <w:rFonts w:ascii="Verdana" w:eastAsia="Calibri" w:hAnsi="Verdana" w:cs="BrownLLCyr-Medium"/>
          <w:i/>
        </w:rPr>
        <w:t xml:space="preserve">. </w:t>
      </w:r>
      <w:r w:rsidRPr="00E4288E">
        <w:rPr>
          <w:rFonts w:ascii="Verdana" w:eastAsia="Calibri" w:hAnsi="Verdana" w:cs="BrownLLCyr-Medium"/>
          <w:i/>
        </w:rPr>
        <w:t xml:space="preserve">Раскрытие потенциала складской инфраструктуры </w:t>
      </w:r>
      <w:r w:rsidR="006F6290">
        <w:rPr>
          <w:rFonts w:ascii="Verdana" w:eastAsia="Calibri" w:hAnsi="Verdana" w:cs="BrownLLCyr-Medium"/>
          <w:i/>
        </w:rPr>
        <w:t>–</w:t>
      </w:r>
      <w:r w:rsidRPr="00E4288E">
        <w:rPr>
          <w:rFonts w:ascii="Verdana" w:eastAsia="Calibri" w:hAnsi="Verdana" w:cs="BrownLLCyr-Medium"/>
          <w:i/>
        </w:rPr>
        <w:t xml:space="preserve"> это не про метры, а про </w:t>
      </w:r>
      <w:r w:rsidR="00E6439D">
        <w:rPr>
          <w:rFonts w:ascii="Verdana" w:eastAsia="Calibri" w:hAnsi="Verdana" w:cs="BrownLLCyr-Medium"/>
          <w:i/>
        </w:rPr>
        <w:t xml:space="preserve">высокую </w:t>
      </w:r>
      <w:r w:rsidRPr="00E4288E">
        <w:rPr>
          <w:rFonts w:ascii="Verdana" w:eastAsia="Calibri" w:hAnsi="Verdana" w:cs="BrownLLCyr-Medium"/>
          <w:i/>
        </w:rPr>
        <w:t>конкурентоспособность экономики.</w:t>
      </w:r>
      <w:r w:rsidR="00863CFB">
        <w:rPr>
          <w:rFonts w:ascii="Verdana" w:eastAsia="Calibri" w:hAnsi="Verdana" w:cs="BrownLLCyr-Medium"/>
          <w:i/>
        </w:rPr>
        <w:t xml:space="preserve"> </w:t>
      </w:r>
      <w:r w:rsidRPr="00E4288E">
        <w:rPr>
          <w:rFonts w:ascii="Verdana" w:eastAsia="Calibri" w:hAnsi="Verdana" w:cs="BrownLLCyr-Medium"/>
          <w:i/>
        </w:rPr>
        <w:t>Современные склады снижают логистические и транзакционные издержки, ускоряют оборот, встраивают компании в региональные цепочки добавленной стоимости и формируют новые центры притяжения производства. С</w:t>
      </w:r>
      <w:r w:rsidR="00E6439D">
        <w:rPr>
          <w:rFonts w:ascii="Verdana" w:eastAsia="Calibri" w:hAnsi="Verdana" w:cs="BrownLLCyr-Medium"/>
          <w:i/>
        </w:rPr>
        <w:t xml:space="preserve">овременные склады – высокотехнологичный бизнес с потенциалом развития ИИ и роботизации. </w:t>
      </w:r>
      <w:r w:rsidRPr="00E4288E">
        <w:rPr>
          <w:rFonts w:ascii="Verdana" w:eastAsia="Calibri" w:hAnsi="Verdana" w:cs="BrownLLCyr-Medium"/>
          <w:i/>
        </w:rPr>
        <w:t xml:space="preserve">На фоне ускоренной индустриализации и структурных сдвигов в потреблении – от стремительного развития </w:t>
      </w:r>
      <w:r w:rsidRPr="00E4288E">
        <w:rPr>
          <w:rFonts w:ascii="Verdana" w:eastAsia="Calibri" w:hAnsi="Verdana" w:cs="BrownLLCyr-Medium"/>
          <w:i/>
          <w:lang w:val="en-US"/>
        </w:rPr>
        <w:t>e</w:t>
      </w:r>
      <w:r w:rsidRPr="00E4288E">
        <w:rPr>
          <w:rFonts w:ascii="Verdana" w:eastAsia="Calibri" w:hAnsi="Verdana" w:cs="BrownLLCyr-Medium"/>
          <w:i/>
        </w:rPr>
        <w:t>-</w:t>
      </w:r>
      <w:r w:rsidRPr="00E4288E">
        <w:rPr>
          <w:rFonts w:ascii="Verdana" w:eastAsia="Calibri" w:hAnsi="Verdana" w:cs="BrownLLCyr-Medium"/>
          <w:i/>
          <w:lang w:val="en-US"/>
        </w:rPr>
        <w:t>commerce</w:t>
      </w:r>
      <w:r w:rsidRPr="00E4288E">
        <w:rPr>
          <w:rFonts w:ascii="Verdana" w:eastAsia="Calibri" w:hAnsi="Verdana" w:cs="BrownLLCyr-Medium"/>
          <w:i/>
        </w:rPr>
        <w:t xml:space="preserve"> до увеличения спроса на холодные и специализированные склады –</w:t>
      </w:r>
      <w:r w:rsidR="006F6290">
        <w:rPr>
          <w:rFonts w:ascii="Verdana" w:eastAsia="Calibri" w:hAnsi="Verdana" w:cs="BrownLLCyr-Medium"/>
          <w:i/>
        </w:rPr>
        <w:t xml:space="preserve"> </w:t>
      </w:r>
      <w:r w:rsidRPr="00E4288E">
        <w:rPr>
          <w:rFonts w:ascii="Verdana" w:eastAsia="Calibri" w:hAnsi="Verdana" w:cs="BrownLLCyr-Medium"/>
          <w:i/>
        </w:rPr>
        <w:t xml:space="preserve">сектор </w:t>
      </w:r>
      <w:r w:rsidR="00E6439D">
        <w:rPr>
          <w:rFonts w:ascii="Verdana" w:eastAsia="Calibri" w:hAnsi="Verdana" w:cs="BrownLLCyr-Medium"/>
          <w:i/>
        </w:rPr>
        <w:t>станет</w:t>
      </w:r>
      <w:r w:rsidRPr="00E4288E">
        <w:rPr>
          <w:rFonts w:ascii="Verdana" w:eastAsia="Calibri" w:hAnsi="Verdana" w:cs="BrownLLCyr-Medium"/>
          <w:i/>
        </w:rPr>
        <w:t xml:space="preserve"> одним из драйверов роста».</w:t>
      </w:r>
    </w:p>
    <w:p w14:paraId="471D6E72" w14:textId="77777777" w:rsidR="00B570A5" w:rsidRPr="00B570A5" w:rsidRDefault="00B570A5" w:rsidP="0088483C">
      <w:pPr>
        <w:spacing w:before="120" w:after="120" w:line="240" w:lineRule="auto"/>
        <w:jc w:val="both"/>
        <w:rPr>
          <w:rFonts w:ascii="Verdana" w:eastAsia="Times New Roman" w:hAnsi="Verdana" w:cs="Times New Roman"/>
          <w:b/>
        </w:rPr>
      </w:pPr>
      <w:r w:rsidRPr="00B830C4">
        <w:rPr>
          <w:rFonts w:ascii="Verdana" w:eastAsia="Times New Roman" w:hAnsi="Verdana" w:cs="Times New Roman"/>
          <w:b/>
        </w:rPr>
        <w:t>Электронная коммерция — долгосрочный драйвер</w:t>
      </w:r>
    </w:p>
    <w:p w14:paraId="4F22E2C8" w14:textId="307C49C5" w:rsidR="00B830C4" w:rsidRDefault="0088483C" w:rsidP="0088483C">
      <w:pPr>
        <w:spacing w:before="120" w:after="120" w:line="240" w:lineRule="auto"/>
        <w:jc w:val="both"/>
        <w:rPr>
          <w:rFonts w:ascii="Verdana" w:eastAsia="Times New Roman" w:hAnsi="Verdana" w:cs="Times New Roman"/>
        </w:rPr>
      </w:pPr>
      <w:r w:rsidRPr="0088483C">
        <w:rPr>
          <w:rFonts w:ascii="Verdana" w:eastAsia="Times New Roman" w:hAnsi="Verdana" w:cs="Times New Roman"/>
        </w:rPr>
        <w:t xml:space="preserve">К 2040 </w:t>
      </w:r>
      <w:r>
        <w:rPr>
          <w:rFonts w:ascii="Verdana" w:eastAsia="Times New Roman" w:hAnsi="Verdana" w:cs="Times New Roman"/>
        </w:rPr>
        <w:t>г.</w:t>
      </w:r>
      <w:r w:rsidRPr="0088483C">
        <w:rPr>
          <w:rFonts w:ascii="Verdana" w:eastAsia="Times New Roman" w:hAnsi="Verdana" w:cs="Times New Roman"/>
        </w:rPr>
        <w:t xml:space="preserve"> доля онлайн-торговли в розничном обороте </w:t>
      </w:r>
      <w:r w:rsidR="00B830C4">
        <w:rPr>
          <w:rFonts w:ascii="Verdana" w:eastAsia="Times New Roman" w:hAnsi="Verdana" w:cs="Times New Roman"/>
        </w:rPr>
        <w:t>может достичь</w:t>
      </w:r>
      <w:r w:rsidRPr="0088483C">
        <w:rPr>
          <w:rFonts w:ascii="Verdana" w:eastAsia="Times New Roman" w:hAnsi="Verdana" w:cs="Times New Roman"/>
        </w:rPr>
        <w:t xml:space="preserve"> </w:t>
      </w:r>
      <w:r w:rsidR="0051376B" w:rsidRPr="0051376B">
        <w:rPr>
          <w:rFonts w:ascii="Verdana" w:eastAsia="Times New Roman" w:hAnsi="Verdana" w:cs="Times New Roman"/>
          <w:b/>
        </w:rPr>
        <w:t>20-</w:t>
      </w:r>
      <w:r w:rsidRPr="0051376B">
        <w:rPr>
          <w:rFonts w:ascii="Verdana" w:eastAsia="Times New Roman" w:hAnsi="Verdana" w:cs="Times New Roman"/>
          <w:b/>
        </w:rPr>
        <w:t>2</w:t>
      </w:r>
      <w:r w:rsidR="0051376B" w:rsidRPr="0051376B">
        <w:rPr>
          <w:rFonts w:ascii="Verdana" w:eastAsia="Times New Roman" w:hAnsi="Verdana" w:cs="Times New Roman"/>
          <w:b/>
        </w:rPr>
        <w:t>5</w:t>
      </w:r>
      <w:r w:rsidRPr="00B830C4">
        <w:rPr>
          <w:rFonts w:ascii="Verdana" w:eastAsia="Times New Roman" w:hAnsi="Verdana" w:cs="Times New Roman"/>
          <w:b/>
        </w:rPr>
        <w:t>%</w:t>
      </w:r>
      <w:r w:rsidRPr="0088483C">
        <w:rPr>
          <w:rFonts w:ascii="Verdana" w:eastAsia="Times New Roman" w:hAnsi="Verdana" w:cs="Times New Roman"/>
        </w:rPr>
        <w:t xml:space="preserve"> </w:t>
      </w:r>
      <w:r w:rsidR="00691DE1">
        <w:rPr>
          <w:rFonts w:ascii="Verdana" w:eastAsia="Times New Roman" w:hAnsi="Verdana" w:cs="Times New Roman"/>
        </w:rPr>
        <w:t>в</w:t>
      </w:r>
      <w:r w:rsidRPr="0088483C">
        <w:rPr>
          <w:rFonts w:ascii="Verdana" w:eastAsia="Times New Roman" w:hAnsi="Verdana" w:cs="Times New Roman"/>
        </w:rPr>
        <w:t xml:space="preserve"> регион</w:t>
      </w:r>
      <w:r w:rsidR="00691DE1">
        <w:rPr>
          <w:rFonts w:ascii="Verdana" w:eastAsia="Times New Roman" w:hAnsi="Verdana" w:cs="Times New Roman"/>
        </w:rPr>
        <w:t>е</w:t>
      </w:r>
      <w:r w:rsidR="00B830C4">
        <w:rPr>
          <w:rFonts w:ascii="Verdana" w:eastAsia="Times New Roman" w:hAnsi="Verdana" w:cs="Times New Roman"/>
        </w:rPr>
        <w:t xml:space="preserve"> (</w:t>
      </w:r>
      <w:r w:rsidR="00B830C4" w:rsidRPr="0051376B">
        <w:rPr>
          <w:rFonts w:ascii="Verdana" w:eastAsia="Times New Roman" w:hAnsi="Verdana" w:cs="Times New Roman"/>
          <w:i/>
          <w:sz w:val="20"/>
        </w:rPr>
        <w:t xml:space="preserve">для сравнения: в 2024 </w:t>
      </w:r>
      <w:r w:rsidR="00296EFF">
        <w:rPr>
          <w:rFonts w:ascii="Verdana" w:eastAsia="Times New Roman" w:hAnsi="Verdana" w:cs="Times New Roman"/>
          <w:i/>
          <w:sz w:val="20"/>
        </w:rPr>
        <w:t>г.</w:t>
      </w:r>
      <w:r w:rsidR="00B830C4" w:rsidRPr="0051376B">
        <w:rPr>
          <w:rFonts w:ascii="Verdana" w:eastAsia="Times New Roman" w:hAnsi="Verdana" w:cs="Times New Roman"/>
          <w:i/>
          <w:sz w:val="20"/>
        </w:rPr>
        <w:t xml:space="preserve"> </w:t>
      </w:r>
      <w:r w:rsidR="006F6290">
        <w:rPr>
          <w:rFonts w:ascii="Verdana" w:eastAsia="Times New Roman" w:hAnsi="Verdana" w:cs="Times New Roman"/>
          <w:i/>
          <w:sz w:val="20"/>
        </w:rPr>
        <w:t>–</w:t>
      </w:r>
      <w:r w:rsidR="00B830C4" w:rsidRPr="0051376B">
        <w:rPr>
          <w:rFonts w:ascii="Verdana" w:eastAsia="Times New Roman" w:hAnsi="Verdana" w:cs="Times New Roman"/>
          <w:i/>
          <w:sz w:val="20"/>
        </w:rPr>
        <w:t xml:space="preserve"> 20% в России, 3% в Узбекистане</w:t>
      </w:r>
      <w:r w:rsidR="00B830C4" w:rsidRPr="00B830C4">
        <w:rPr>
          <w:rFonts w:ascii="Verdana" w:eastAsia="Times New Roman" w:hAnsi="Verdana" w:cs="Times New Roman"/>
        </w:rPr>
        <w:t>).</w:t>
      </w:r>
    </w:p>
    <w:p w14:paraId="0862E48E" w14:textId="77777777" w:rsidR="00B830C4" w:rsidRPr="00B830C4" w:rsidRDefault="00B830C4" w:rsidP="00B830C4">
      <w:pPr>
        <w:spacing w:before="120" w:after="120" w:line="240" w:lineRule="auto"/>
        <w:jc w:val="both"/>
        <w:rPr>
          <w:rFonts w:ascii="Verdana" w:eastAsia="Times New Roman" w:hAnsi="Verdana" w:cs="Times New Roman"/>
        </w:rPr>
      </w:pPr>
      <w:r w:rsidRPr="00B830C4">
        <w:rPr>
          <w:rFonts w:ascii="Verdana" w:eastAsia="Times New Roman" w:hAnsi="Verdana" w:cs="Times New Roman"/>
        </w:rPr>
        <w:t>Это стимулирует рост инвестиций в:</w:t>
      </w:r>
    </w:p>
    <w:p w14:paraId="54E6E384" w14:textId="77777777" w:rsidR="00B830C4" w:rsidRPr="00B830C4" w:rsidRDefault="00B830C4" w:rsidP="00B830C4">
      <w:pPr>
        <w:pStyle w:val="a9"/>
        <w:numPr>
          <w:ilvl w:val="0"/>
          <w:numId w:val="2"/>
        </w:numPr>
        <w:spacing w:before="120" w:after="120" w:line="240" w:lineRule="auto"/>
        <w:jc w:val="both"/>
        <w:rPr>
          <w:rFonts w:ascii="Verdana" w:eastAsia="Times New Roman" w:hAnsi="Verdana" w:cs="Times New Roman"/>
          <w:b/>
        </w:rPr>
      </w:pPr>
      <w:r w:rsidRPr="00B830C4">
        <w:rPr>
          <w:rFonts w:ascii="Verdana" w:eastAsia="Times New Roman" w:hAnsi="Verdana" w:cs="Times New Roman"/>
          <w:b/>
        </w:rPr>
        <w:t>фулфилмент-центры</w:t>
      </w:r>
    </w:p>
    <w:p w14:paraId="38B3272E" w14:textId="163CDB95" w:rsidR="00B830C4" w:rsidRPr="00B830C4" w:rsidRDefault="0051376B" w:rsidP="00B830C4">
      <w:pPr>
        <w:pStyle w:val="a9"/>
        <w:numPr>
          <w:ilvl w:val="0"/>
          <w:numId w:val="2"/>
        </w:numPr>
        <w:spacing w:before="120" w:after="120" w:line="240" w:lineRule="auto"/>
        <w:jc w:val="both"/>
        <w:rPr>
          <w:rFonts w:ascii="Verdana" w:eastAsia="Times New Roman" w:hAnsi="Verdana" w:cs="Times New Roman"/>
          <w:b/>
        </w:rPr>
      </w:pPr>
      <w:r>
        <w:rPr>
          <w:rFonts w:ascii="Verdana" w:eastAsia="Times New Roman" w:hAnsi="Verdana" w:cs="Times New Roman"/>
          <w:b/>
        </w:rPr>
        <w:t>городские склады «</w:t>
      </w:r>
      <w:r w:rsidR="00B830C4" w:rsidRPr="00B830C4">
        <w:rPr>
          <w:rFonts w:ascii="Verdana" w:eastAsia="Times New Roman" w:hAnsi="Verdana" w:cs="Times New Roman"/>
          <w:b/>
        </w:rPr>
        <w:t>последней мили</w:t>
      </w:r>
      <w:r>
        <w:rPr>
          <w:rFonts w:ascii="Verdana" w:eastAsia="Times New Roman" w:hAnsi="Verdana" w:cs="Times New Roman"/>
          <w:b/>
        </w:rPr>
        <w:t>»</w:t>
      </w:r>
    </w:p>
    <w:p w14:paraId="4BF2DC96" w14:textId="77777777" w:rsidR="00B830C4" w:rsidRPr="00B830C4" w:rsidRDefault="00B830C4" w:rsidP="00B830C4">
      <w:pPr>
        <w:pStyle w:val="a9"/>
        <w:numPr>
          <w:ilvl w:val="0"/>
          <w:numId w:val="2"/>
        </w:numPr>
        <w:spacing w:before="120" w:after="120" w:line="240" w:lineRule="auto"/>
        <w:jc w:val="both"/>
        <w:rPr>
          <w:rFonts w:ascii="Verdana" w:eastAsia="Times New Roman" w:hAnsi="Verdana" w:cs="Times New Roman"/>
          <w:b/>
        </w:rPr>
      </w:pPr>
      <w:r w:rsidRPr="00B830C4">
        <w:rPr>
          <w:rFonts w:ascii="Verdana" w:eastAsia="Times New Roman" w:hAnsi="Verdana" w:cs="Times New Roman"/>
          <w:b/>
        </w:rPr>
        <w:t>автоматизацию логистики</w:t>
      </w:r>
    </w:p>
    <w:p w14:paraId="662C6BF7" w14:textId="77777777" w:rsidR="00863CFB" w:rsidRDefault="00B830C4" w:rsidP="00B830C4">
      <w:pPr>
        <w:spacing w:before="120" w:after="120" w:line="240" w:lineRule="auto"/>
        <w:jc w:val="both"/>
        <w:rPr>
          <w:rFonts w:ascii="Verdana" w:eastAsia="Times New Roman" w:hAnsi="Verdana" w:cs="Times New Roman"/>
        </w:rPr>
      </w:pPr>
      <w:r w:rsidRPr="00B830C4">
        <w:rPr>
          <w:rFonts w:ascii="Verdana" w:eastAsia="Times New Roman" w:hAnsi="Verdana" w:cs="Times New Roman"/>
        </w:rPr>
        <w:t>Крупные ритейлеры вс</w:t>
      </w:r>
      <w:r w:rsidR="006F6290">
        <w:rPr>
          <w:rFonts w:ascii="Verdana" w:eastAsia="Times New Roman" w:hAnsi="Verdana" w:cs="Times New Roman"/>
        </w:rPr>
        <w:t>е</w:t>
      </w:r>
      <w:r w:rsidRPr="00B830C4">
        <w:rPr>
          <w:rFonts w:ascii="Verdana" w:eastAsia="Times New Roman" w:hAnsi="Verdana" w:cs="Times New Roman"/>
        </w:rPr>
        <w:t xml:space="preserve"> чаще передают логистику на аутсорс, и спрос на 3PL-провайдеров стремительно раст</w:t>
      </w:r>
      <w:r w:rsidR="006F6290">
        <w:rPr>
          <w:rFonts w:ascii="Verdana" w:eastAsia="Times New Roman" w:hAnsi="Verdana" w:cs="Times New Roman"/>
        </w:rPr>
        <w:t>е</w:t>
      </w:r>
      <w:r w:rsidRPr="00B830C4">
        <w:rPr>
          <w:rFonts w:ascii="Verdana" w:eastAsia="Times New Roman" w:hAnsi="Verdana" w:cs="Times New Roman"/>
        </w:rPr>
        <w:t xml:space="preserve">т </w:t>
      </w:r>
      <w:r w:rsidR="006F6290">
        <w:rPr>
          <w:rFonts w:ascii="Verdana" w:eastAsia="Times New Roman" w:hAnsi="Verdana" w:cs="Times New Roman"/>
        </w:rPr>
        <w:t>–</w:t>
      </w:r>
      <w:r w:rsidRPr="00B830C4">
        <w:rPr>
          <w:rFonts w:ascii="Verdana" w:eastAsia="Times New Roman" w:hAnsi="Verdana" w:cs="Times New Roman"/>
        </w:rPr>
        <w:t xml:space="preserve"> особенно в сегментах e-</w:t>
      </w:r>
      <w:proofErr w:type="spellStart"/>
      <w:r w:rsidRPr="00B830C4">
        <w:rPr>
          <w:rFonts w:ascii="Verdana" w:eastAsia="Times New Roman" w:hAnsi="Verdana" w:cs="Times New Roman"/>
        </w:rPr>
        <w:t>commerce</w:t>
      </w:r>
      <w:proofErr w:type="spellEnd"/>
      <w:r w:rsidRPr="00B830C4">
        <w:rPr>
          <w:rFonts w:ascii="Verdana" w:eastAsia="Times New Roman" w:hAnsi="Verdana" w:cs="Times New Roman"/>
        </w:rPr>
        <w:t xml:space="preserve"> и FMCG.</w:t>
      </w:r>
      <w:r w:rsidR="006F6290">
        <w:rPr>
          <w:rFonts w:ascii="Verdana" w:eastAsia="Times New Roman" w:hAnsi="Verdana" w:cs="Times New Roman"/>
        </w:rPr>
        <w:t xml:space="preserve"> </w:t>
      </w:r>
      <w:r w:rsidRPr="00B830C4">
        <w:rPr>
          <w:rFonts w:ascii="Verdana" w:eastAsia="Times New Roman" w:hAnsi="Verdana" w:cs="Times New Roman"/>
        </w:rPr>
        <w:t>На этом фоне формируется новый класс логистических компаний, строящих многофункциональные комплексы для обслуживания нескольких клиентов одновременно.</w:t>
      </w:r>
      <w:r w:rsidR="009330BA" w:rsidRPr="009330BA">
        <w:rPr>
          <w:rFonts w:ascii="Verdana" w:eastAsia="Times New Roman" w:hAnsi="Verdana" w:cs="Times New Roman"/>
        </w:rPr>
        <w:t xml:space="preserve"> </w:t>
      </w:r>
      <w:r>
        <w:rPr>
          <w:rFonts w:ascii="Verdana" w:eastAsia="Times New Roman" w:hAnsi="Verdana" w:cs="Times New Roman"/>
        </w:rPr>
        <w:t>В этих условиях п</w:t>
      </w:r>
      <w:r w:rsidRPr="00B830C4">
        <w:rPr>
          <w:rFonts w:ascii="Verdana" w:eastAsia="Times New Roman" w:hAnsi="Verdana" w:cs="Times New Roman"/>
        </w:rPr>
        <w:t>овышаются требования к качеству услуг и техническому оснащению складов.</w:t>
      </w:r>
    </w:p>
    <w:p w14:paraId="744596E4" w14:textId="37EE780A" w:rsidR="00863CFB" w:rsidRDefault="00863CFB" w:rsidP="00B830C4">
      <w:pPr>
        <w:spacing w:before="120" w:after="120" w:line="240" w:lineRule="auto"/>
        <w:jc w:val="both"/>
        <w:rPr>
          <w:rFonts w:ascii="Verdana" w:eastAsia="Times New Roman" w:hAnsi="Verdana" w:cs="Times New Roman"/>
        </w:rPr>
      </w:pPr>
      <w:r>
        <w:rPr>
          <w:rFonts w:ascii="Verdana" w:eastAsia="Times New Roman" w:hAnsi="Verdana" w:cs="Times New Roman"/>
        </w:rPr>
        <w:t>Среди других драйверов:</w:t>
      </w:r>
      <w:r w:rsidRPr="00863CFB">
        <w:rPr>
          <w:rFonts w:ascii="Verdana" w:eastAsia="Times New Roman" w:hAnsi="Verdana" w:cs="Times New Roman"/>
        </w:rPr>
        <w:t xml:space="preserve"> цифровизаци</w:t>
      </w:r>
      <w:r>
        <w:rPr>
          <w:rFonts w:ascii="Verdana" w:eastAsia="Times New Roman" w:hAnsi="Verdana" w:cs="Times New Roman"/>
        </w:rPr>
        <w:t>я</w:t>
      </w:r>
      <w:r w:rsidRPr="00863CFB">
        <w:rPr>
          <w:rFonts w:ascii="Verdana" w:eastAsia="Times New Roman" w:hAnsi="Verdana" w:cs="Times New Roman"/>
        </w:rPr>
        <w:t xml:space="preserve"> логистики</w:t>
      </w:r>
      <w:r>
        <w:rPr>
          <w:rFonts w:ascii="Verdana" w:eastAsia="Times New Roman" w:hAnsi="Verdana" w:cs="Times New Roman"/>
        </w:rPr>
        <w:t xml:space="preserve">, </w:t>
      </w:r>
      <w:r w:rsidRPr="00863CFB">
        <w:rPr>
          <w:rFonts w:ascii="Verdana" w:eastAsia="Times New Roman" w:hAnsi="Verdana" w:cs="Times New Roman"/>
        </w:rPr>
        <w:t>ускорение индустриализации, раскрытие потенциала агропромышленного комплекса</w:t>
      </w:r>
      <w:r>
        <w:rPr>
          <w:rFonts w:ascii="Verdana" w:eastAsia="Times New Roman" w:hAnsi="Verdana" w:cs="Times New Roman"/>
        </w:rPr>
        <w:t xml:space="preserve"> и др.</w:t>
      </w:r>
      <w:r w:rsidRPr="00863CFB">
        <w:rPr>
          <w:rFonts w:ascii="Verdana" w:eastAsia="Times New Roman" w:hAnsi="Verdana" w:cs="Times New Roman"/>
        </w:rPr>
        <w:t xml:space="preserve"> На этом фоне структура спроса постепенно смещается в пользу специализированных складов </w:t>
      </w:r>
      <w:r>
        <w:rPr>
          <w:rFonts w:ascii="Verdana" w:eastAsia="Times New Roman" w:hAnsi="Verdana" w:cs="Times New Roman"/>
        </w:rPr>
        <w:t>–</w:t>
      </w:r>
      <w:r w:rsidRPr="00863CFB">
        <w:rPr>
          <w:rFonts w:ascii="Verdana" w:eastAsia="Times New Roman" w:hAnsi="Verdana" w:cs="Times New Roman"/>
        </w:rPr>
        <w:t xml:space="preserve"> </w:t>
      </w:r>
      <w:r w:rsidRPr="00863CFB">
        <w:rPr>
          <w:rFonts w:ascii="Verdana" w:eastAsia="Times New Roman" w:hAnsi="Verdana" w:cs="Times New Roman"/>
        </w:rPr>
        <w:lastRenderedPageBreak/>
        <w:t>холодильных, фармацевтических, логистических хабов нового поколения, отвечающих требованиям автоматизации и энергоэффективности.</w:t>
      </w:r>
    </w:p>
    <w:p w14:paraId="7906C046" w14:textId="0281E9E8" w:rsidR="00FF3807" w:rsidRPr="00D6594A" w:rsidRDefault="00FF3807" w:rsidP="00FF3807">
      <w:pPr>
        <w:spacing w:after="0" w:line="240" w:lineRule="auto"/>
        <w:jc w:val="both"/>
        <w:rPr>
          <w:rFonts w:ascii="Verdana" w:eastAsia="Times New Roman" w:hAnsi="Verdana" w:cs="Times New Roman"/>
          <w:b/>
        </w:rPr>
      </w:pPr>
      <w:r w:rsidRPr="00D6594A">
        <w:rPr>
          <w:rFonts w:ascii="Verdana" w:eastAsia="Times New Roman" w:hAnsi="Verdana" w:cs="Times New Roman"/>
          <w:b/>
        </w:rPr>
        <w:t xml:space="preserve">Прогноз до 2040 </w:t>
      </w:r>
      <w:r w:rsidR="006F6290">
        <w:rPr>
          <w:rFonts w:ascii="Verdana" w:eastAsia="Times New Roman" w:hAnsi="Verdana" w:cs="Times New Roman"/>
          <w:b/>
        </w:rPr>
        <w:t>г.</w:t>
      </w:r>
      <w:r w:rsidRPr="00D6594A">
        <w:rPr>
          <w:rFonts w:ascii="Verdana" w:eastAsia="Times New Roman" w:hAnsi="Verdana" w:cs="Times New Roman"/>
          <w:b/>
        </w:rPr>
        <w:t>: удвоение спроса</w:t>
      </w:r>
    </w:p>
    <w:p w14:paraId="60F376A9" w14:textId="525FE6F0" w:rsidR="00863CFB" w:rsidRPr="00863CFB" w:rsidRDefault="00FF3807" w:rsidP="00863CFB">
      <w:pPr>
        <w:spacing w:after="0" w:line="240" w:lineRule="auto"/>
        <w:jc w:val="both"/>
        <w:rPr>
          <w:rFonts w:ascii="Verdana" w:eastAsia="Times New Roman" w:hAnsi="Verdana" w:cs="Times New Roman"/>
        </w:rPr>
      </w:pPr>
      <w:r w:rsidRPr="00FF3807">
        <w:rPr>
          <w:rFonts w:ascii="Verdana" w:eastAsia="Times New Roman" w:hAnsi="Verdana" w:cs="Times New Roman"/>
        </w:rPr>
        <w:t>По оценке ЕАБР, спрос на современные складские площади в регионе может вырасти почти вдвое —</w:t>
      </w:r>
      <w:r w:rsidR="00D6594A">
        <w:rPr>
          <w:rFonts w:ascii="Verdana" w:eastAsia="Times New Roman" w:hAnsi="Verdana" w:cs="Times New Roman"/>
        </w:rPr>
        <w:t xml:space="preserve"> </w:t>
      </w:r>
      <w:r w:rsidRPr="00D6594A">
        <w:rPr>
          <w:rFonts w:ascii="Verdana" w:eastAsia="Times New Roman" w:hAnsi="Verdana" w:cs="Times New Roman"/>
          <w:b/>
        </w:rPr>
        <w:t>до 101–12</w:t>
      </w:r>
      <w:r w:rsidR="005561B9">
        <w:rPr>
          <w:rFonts w:ascii="Verdana" w:eastAsia="Times New Roman" w:hAnsi="Verdana" w:cs="Times New Roman"/>
          <w:b/>
        </w:rPr>
        <w:t>3</w:t>
      </w:r>
      <w:r w:rsidRPr="00D6594A">
        <w:rPr>
          <w:rFonts w:ascii="Verdana" w:eastAsia="Times New Roman" w:hAnsi="Verdana" w:cs="Times New Roman"/>
          <w:b/>
        </w:rPr>
        <w:t xml:space="preserve"> млн м² к 2040 </w:t>
      </w:r>
      <w:r w:rsidR="006F6290">
        <w:rPr>
          <w:rFonts w:ascii="Verdana" w:eastAsia="Times New Roman" w:hAnsi="Verdana" w:cs="Times New Roman"/>
          <w:b/>
        </w:rPr>
        <w:t>г.</w:t>
      </w:r>
      <w:r w:rsidR="0045144B">
        <w:rPr>
          <w:rFonts w:ascii="Verdana" w:eastAsia="Times New Roman" w:hAnsi="Verdana" w:cs="Times New Roman"/>
          <w:b/>
        </w:rPr>
        <w:t xml:space="preserve"> </w:t>
      </w:r>
    </w:p>
    <w:p w14:paraId="0922FF56" w14:textId="1EAA3154" w:rsidR="00373CD5" w:rsidRDefault="00373CD5" w:rsidP="00FF3807">
      <w:pPr>
        <w:spacing w:after="0" w:line="240" w:lineRule="auto"/>
        <w:jc w:val="both"/>
        <w:rPr>
          <w:rFonts w:ascii="Verdana" w:eastAsia="Times New Roman" w:hAnsi="Verdana" w:cs="Times New Roman"/>
        </w:rPr>
      </w:pPr>
    </w:p>
    <w:p w14:paraId="798F4C08" w14:textId="77777777" w:rsidR="00FF3807" w:rsidRPr="00BA6A16" w:rsidRDefault="00FF3807" w:rsidP="00FF3807">
      <w:pPr>
        <w:spacing w:after="0" w:line="240" w:lineRule="auto"/>
        <w:jc w:val="both"/>
        <w:rPr>
          <w:rFonts w:ascii="Verdana" w:eastAsia="Times New Roman" w:hAnsi="Verdana" w:cs="Times New Roman"/>
          <w:b/>
        </w:rPr>
      </w:pPr>
      <w:r w:rsidRPr="00BA6A16">
        <w:rPr>
          <w:rFonts w:ascii="Verdana" w:eastAsia="Times New Roman" w:hAnsi="Verdana" w:cs="Times New Roman"/>
          <w:b/>
        </w:rPr>
        <w:t>Ожидаемая потребность по сегментам:</w:t>
      </w:r>
    </w:p>
    <w:p w14:paraId="0964D10F" w14:textId="337007F1" w:rsidR="00FF3807" w:rsidRPr="00FF3807" w:rsidRDefault="00FF3807" w:rsidP="008F119F">
      <w:pPr>
        <w:spacing w:after="0" w:line="240" w:lineRule="auto"/>
        <w:ind w:firstLine="720"/>
        <w:jc w:val="both"/>
        <w:rPr>
          <w:rFonts w:ascii="Verdana" w:eastAsia="Times New Roman" w:hAnsi="Verdana" w:cs="Times New Roman"/>
        </w:rPr>
      </w:pPr>
      <w:r w:rsidRPr="00FF3807">
        <w:rPr>
          <w:rFonts w:ascii="Verdana" w:eastAsia="Times New Roman" w:hAnsi="Verdana" w:cs="Times New Roman"/>
        </w:rPr>
        <w:t>•</w:t>
      </w:r>
      <w:r w:rsidRPr="00FF3807">
        <w:rPr>
          <w:rFonts w:ascii="Verdana" w:eastAsia="Times New Roman" w:hAnsi="Verdana" w:cs="Times New Roman"/>
        </w:rPr>
        <w:tab/>
      </w:r>
      <w:r w:rsidRPr="00D6594A">
        <w:rPr>
          <w:rFonts w:ascii="Verdana" w:eastAsia="Times New Roman" w:hAnsi="Verdana" w:cs="Times New Roman"/>
          <w:b/>
        </w:rPr>
        <w:t>73–87</w:t>
      </w:r>
      <w:r w:rsidRPr="00FF3807">
        <w:rPr>
          <w:rFonts w:ascii="Verdana" w:eastAsia="Times New Roman" w:hAnsi="Verdana" w:cs="Times New Roman"/>
        </w:rPr>
        <w:t xml:space="preserve"> </w:t>
      </w:r>
      <w:r w:rsidRPr="00D6594A">
        <w:rPr>
          <w:rFonts w:ascii="Verdana" w:eastAsia="Times New Roman" w:hAnsi="Verdana" w:cs="Times New Roman"/>
          <w:b/>
        </w:rPr>
        <w:t>млн м²</w:t>
      </w:r>
      <w:r w:rsidRPr="00FF3807">
        <w:rPr>
          <w:rFonts w:ascii="Verdana" w:eastAsia="Times New Roman" w:hAnsi="Verdana" w:cs="Times New Roman"/>
        </w:rPr>
        <w:t xml:space="preserve"> — ритейл</w:t>
      </w:r>
      <w:r w:rsidR="006F6290">
        <w:rPr>
          <w:rFonts w:ascii="Verdana" w:eastAsia="Times New Roman" w:hAnsi="Verdana" w:cs="Times New Roman"/>
        </w:rPr>
        <w:t xml:space="preserve"> (</w:t>
      </w:r>
      <w:r w:rsidR="006F6290" w:rsidRPr="006F6290">
        <w:rPr>
          <w:rFonts w:ascii="Verdana" w:eastAsia="Times New Roman" w:hAnsi="Verdana" w:cs="Times New Roman"/>
          <w:i/>
          <w:sz w:val="20"/>
        </w:rPr>
        <w:t>качественные сухие склады</w:t>
      </w:r>
      <w:r w:rsidR="006F6290">
        <w:rPr>
          <w:rFonts w:ascii="Verdana" w:eastAsia="Times New Roman" w:hAnsi="Verdana" w:cs="Times New Roman"/>
        </w:rPr>
        <w:t>)</w:t>
      </w:r>
    </w:p>
    <w:p w14:paraId="7BB4F38E" w14:textId="77777777" w:rsidR="00FF3807" w:rsidRPr="00FF3807" w:rsidRDefault="00D6594A" w:rsidP="009D22A1">
      <w:pPr>
        <w:spacing w:after="0" w:line="240" w:lineRule="auto"/>
        <w:ind w:left="1440" w:hanging="720"/>
        <w:jc w:val="both"/>
        <w:rPr>
          <w:rFonts w:ascii="Verdana" w:eastAsia="Times New Roman" w:hAnsi="Verdana" w:cs="Times New Roman"/>
        </w:rPr>
      </w:pPr>
      <w:r>
        <w:rPr>
          <w:rFonts w:ascii="Verdana" w:eastAsia="Times New Roman" w:hAnsi="Verdana" w:cs="Times New Roman"/>
        </w:rPr>
        <w:t>•</w:t>
      </w:r>
      <w:r>
        <w:rPr>
          <w:rFonts w:ascii="Verdana" w:eastAsia="Times New Roman" w:hAnsi="Verdana" w:cs="Times New Roman"/>
        </w:rPr>
        <w:tab/>
      </w:r>
      <w:r w:rsidRPr="00D6594A">
        <w:rPr>
          <w:rFonts w:ascii="Verdana" w:eastAsia="Times New Roman" w:hAnsi="Verdana" w:cs="Times New Roman"/>
          <w:b/>
        </w:rPr>
        <w:t>23–27</w:t>
      </w:r>
      <w:r>
        <w:rPr>
          <w:rFonts w:ascii="Verdana" w:eastAsia="Times New Roman" w:hAnsi="Verdana" w:cs="Times New Roman"/>
        </w:rPr>
        <w:t xml:space="preserve"> </w:t>
      </w:r>
      <w:r w:rsidRPr="00D6594A">
        <w:rPr>
          <w:rFonts w:ascii="Verdana" w:eastAsia="Times New Roman" w:hAnsi="Verdana" w:cs="Times New Roman"/>
          <w:b/>
        </w:rPr>
        <w:t>млн м²</w:t>
      </w:r>
      <w:r>
        <w:rPr>
          <w:rFonts w:ascii="Verdana" w:eastAsia="Times New Roman" w:hAnsi="Verdana" w:cs="Times New Roman"/>
        </w:rPr>
        <w:t xml:space="preserve"> — электронная </w:t>
      </w:r>
      <w:r w:rsidR="00FF3807" w:rsidRPr="00FF3807">
        <w:rPr>
          <w:rFonts w:ascii="Verdana" w:eastAsia="Times New Roman" w:hAnsi="Verdana" w:cs="Times New Roman"/>
        </w:rPr>
        <w:t>коммерция</w:t>
      </w:r>
      <w:r>
        <w:rPr>
          <w:rFonts w:ascii="Verdana" w:eastAsia="Times New Roman" w:hAnsi="Verdana" w:cs="Times New Roman"/>
        </w:rPr>
        <w:t xml:space="preserve"> </w:t>
      </w:r>
      <w:r w:rsidRPr="00D6594A">
        <w:rPr>
          <w:rFonts w:ascii="Verdana" w:eastAsia="Times New Roman" w:hAnsi="Verdana" w:cs="Times New Roman"/>
        </w:rPr>
        <w:t>(</w:t>
      </w:r>
      <w:r w:rsidRPr="006F6290">
        <w:rPr>
          <w:rFonts w:ascii="Verdana" w:eastAsia="Times New Roman" w:hAnsi="Verdana" w:cs="Times New Roman"/>
          <w:i/>
          <w:sz w:val="20"/>
        </w:rPr>
        <w:t>фулфилмент-центры, распределительные склады, городская логистика</w:t>
      </w:r>
      <w:r w:rsidRPr="00D6594A">
        <w:rPr>
          <w:rFonts w:ascii="Verdana" w:eastAsia="Times New Roman" w:hAnsi="Verdana" w:cs="Times New Roman"/>
        </w:rPr>
        <w:t>)</w:t>
      </w:r>
    </w:p>
    <w:p w14:paraId="67F076E2" w14:textId="77777777" w:rsidR="00FF3807" w:rsidRPr="00FF3807" w:rsidRDefault="00FF3807" w:rsidP="009D22A1">
      <w:pPr>
        <w:spacing w:after="0" w:line="240" w:lineRule="auto"/>
        <w:ind w:left="1440" w:hanging="720"/>
        <w:jc w:val="both"/>
        <w:rPr>
          <w:rFonts w:ascii="Verdana" w:eastAsia="Times New Roman" w:hAnsi="Verdana" w:cs="Times New Roman"/>
        </w:rPr>
      </w:pPr>
      <w:r w:rsidRPr="00FF3807">
        <w:rPr>
          <w:rFonts w:ascii="Verdana" w:eastAsia="Times New Roman" w:hAnsi="Verdana" w:cs="Times New Roman"/>
        </w:rPr>
        <w:t>•</w:t>
      </w:r>
      <w:r w:rsidRPr="00FF3807">
        <w:rPr>
          <w:rFonts w:ascii="Verdana" w:eastAsia="Times New Roman" w:hAnsi="Verdana" w:cs="Times New Roman"/>
        </w:rPr>
        <w:tab/>
      </w:r>
      <w:r w:rsidRPr="00D6594A">
        <w:rPr>
          <w:rFonts w:ascii="Verdana" w:eastAsia="Times New Roman" w:hAnsi="Verdana" w:cs="Times New Roman"/>
          <w:b/>
        </w:rPr>
        <w:t>4,7–7</w:t>
      </w:r>
      <w:r w:rsidRPr="00FF3807">
        <w:rPr>
          <w:rFonts w:ascii="Verdana" w:eastAsia="Times New Roman" w:hAnsi="Verdana" w:cs="Times New Roman"/>
        </w:rPr>
        <w:t xml:space="preserve"> </w:t>
      </w:r>
      <w:r w:rsidRPr="00D6594A">
        <w:rPr>
          <w:rFonts w:ascii="Verdana" w:eastAsia="Times New Roman" w:hAnsi="Verdana" w:cs="Times New Roman"/>
          <w:b/>
        </w:rPr>
        <w:t>млн м²</w:t>
      </w:r>
      <w:r w:rsidRPr="00FF3807">
        <w:rPr>
          <w:rFonts w:ascii="Verdana" w:eastAsia="Times New Roman" w:hAnsi="Verdana" w:cs="Times New Roman"/>
        </w:rPr>
        <w:t xml:space="preserve"> — агропромышленность (</w:t>
      </w:r>
      <w:r w:rsidRPr="006F6290">
        <w:rPr>
          <w:rFonts w:ascii="Verdana" w:eastAsia="Times New Roman" w:hAnsi="Verdana" w:cs="Times New Roman"/>
          <w:i/>
          <w:sz w:val="20"/>
        </w:rPr>
        <w:t>в т.ч.</w:t>
      </w:r>
      <w:r w:rsidR="00D6594A" w:rsidRPr="006F6290">
        <w:rPr>
          <w:rFonts w:ascii="Verdana" w:eastAsia="Times New Roman" w:hAnsi="Verdana" w:cs="Times New Roman"/>
          <w:i/>
          <w:sz w:val="20"/>
        </w:rPr>
        <w:t xml:space="preserve"> холодильные мощности и логистика сельхозпродукции</w:t>
      </w:r>
      <w:r w:rsidRPr="00FF3807">
        <w:rPr>
          <w:rFonts w:ascii="Verdana" w:eastAsia="Times New Roman" w:hAnsi="Verdana" w:cs="Times New Roman"/>
        </w:rPr>
        <w:t>)</w:t>
      </w:r>
    </w:p>
    <w:p w14:paraId="0F0DB650" w14:textId="77777777" w:rsidR="00FF3807" w:rsidRPr="00FF3807" w:rsidRDefault="00FF3807" w:rsidP="009D22A1">
      <w:pPr>
        <w:spacing w:after="0" w:line="240" w:lineRule="auto"/>
        <w:ind w:left="1440" w:hanging="720"/>
        <w:jc w:val="both"/>
        <w:rPr>
          <w:rFonts w:ascii="Verdana" w:eastAsia="Times New Roman" w:hAnsi="Verdana" w:cs="Times New Roman"/>
        </w:rPr>
      </w:pPr>
      <w:r w:rsidRPr="00FF3807">
        <w:rPr>
          <w:rFonts w:ascii="Verdana" w:eastAsia="Times New Roman" w:hAnsi="Verdana" w:cs="Times New Roman"/>
        </w:rPr>
        <w:t>•</w:t>
      </w:r>
      <w:r w:rsidRPr="00FF3807">
        <w:rPr>
          <w:rFonts w:ascii="Verdana" w:eastAsia="Times New Roman" w:hAnsi="Verdana" w:cs="Times New Roman"/>
        </w:rPr>
        <w:tab/>
      </w:r>
      <w:r w:rsidRPr="00D6594A">
        <w:rPr>
          <w:rFonts w:ascii="Verdana" w:eastAsia="Times New Roman" w:hAnsi="Verdana" w:cs="Times New Roman"/>
          <w:b/>
        </w:rPr>
        <w:t>1,3–1,6 млн м²</w:t>
      </w:r>
      <w:r w:rsidRPr="00FF3807">
        <w:rPr>
          <w:rFonts w:ascii="Verdana" w:eastAsia="Times New Roman" w:hAnsi="Verdana" w:cs="Times New Roman"/>
        </w:rPr>
        <w:t xml:space="preserve"> — фармацевтика (</w:t>
      </w:r>
      <w:r w:rsidRPr="006F6290">
        <w:rPr>
          <w:rFonts w:ascii="Verdana" w:eastAsia="Times New Roman" w:hAnsi="Verdana" w:cs="Times New Roman"/>
          <w:i/>
          <w:sz w:val="20"/>
        </w:rPr>
        <w:t>включая хабы GMP-класса</w:t>
      </w:r>
      <w:r w:rsidR="00D6594A" w:rsidRPr="006F6290">
        <w:rPr>
          <w:rFonts w:ascii="Verdana" w:eastAsia="Times New Roman" w:hAnsi="Verdana" w:cs="Times New Roman"/>
          <w:i/>
          <w:sz w:val="20"/>
        </w:rPr>
        <w:t xml:space="preserve"> и региональные распределительные хабы</w:t>
      </w:r>
      <w:r w:rsidRPr="00FF3807">
        <w:rPr>
          <w:rFonts w:ascii="Verdana" w:eastAsia="Times New Roman" w:hAnsi="Verdana" w:cs="Times New Roman"/>
        </w:rPr>
        <w:t>)</w:t>
      </w:r>
    </w:p>
    <w:p w14:paraId="1C17D85B" w14:textId="00C5B56B" w:rsidR="00FF3807" w:rsidRDefault="00FF3807" w:rsidP="009D22A1">
      <w:pPr>
        <w:spacing w:after="0" w:line="240" w:lineRule="auto"/>
        <w:ind w:left="1440" w:hanging="720"/>
        <w:jc w:val="both"/>
        <w:rPr>
          <w:rFonts w:ascii="Verdana" w:eastAsia="Times New Roman" w:hAnsi="Verdana" w:cs="Times New Roman"/>
        </w:rPr>
      </w:pPr>
      <w:r w:rsidRPr="00FF3807">
        <w:rPr>
          <w:rFonts w:ascii="Verdana" w:eastAsia="Times New Roman" w:hAnsi="Verdana" w:cs="Times New Roman"/>
        </w:rPr>
        <w:t>•</w:t>
      </w:r>
      <w:r w:rsidRPr="00FF3807">
        <w:rPr>
          <w:rFonts w:ascii="Verdana" w:eastAsia="Times New Roman" w:hAnsi="Verdana" w:cs="Times New Roman"/>
        </w:rPr>
        <w:tab/>
      </w:r>
      <w:r w:rsidRPr="00D6594A">
        <w:rPr>
          <w:rFonts w:ascii="Verdana" w:eastAsia="Times New Roman" w:hAnsi="Verdana" w:cs="Times New Roman"/>
          <w:b/>
        </w:rPr>
        <w:t xml:space="preserve">4–4,3 </w:t>
      </w:r>
      <w:r w:rsidR="00CF793E">
        <w:rPr>
          <w:rFonts w:ascii="Verdana" w:eastAsia="Times New Roman" w:hAnsi="Verdana" w:cs="Times New Roman"/>
          <w:b/>
        </w:rPr>
        <w:t xml:space="preserve">тыс. </w:t>
      </w:r>
      <w:r w:rsidRPr="00D6594A">
        <w:rPr>
          <w:rFonts w:ascii="Verdana" w:eastAsia="Times New Roman" w:hAnsi="Verdana" w:cs="Times New Roman"/>
          <w:b/>
        </w:rPr>
        <w:t>га</w:t>
      </w:r>
      <w:r w:rsidRPr="00FF3807">
        <w:rPr>
          <w:rFonts w:ascii="Verdana" w:eastAsia="Times New Roman" w:hAnsi="Verdana" w:cs="Times New Roman"/>
        </w:rPr>
        <w:t xml:space="preserve"> — транспорт (</w:t>
      </w:r>
      <w:r w:rsidR="00D6594A" w:rsidRPr="006F6290">
        <w:rPr>
          <w:rFonts w:ascii="Verdana" w:eastAsia="Times New Roman" w:hAnsi="Verdana" w:cs="Times New Roman"/>
          <w:i/>
          <w:sz w:val="20"/>
        </w:rPr>
        <w:t>перегрузочные терминалы, контейнерные и открытые площадки</w:t>
      </w:r>
      <w:r w:rsidRPr="00FF3807">
        <w:rPr>
          <w:rFonts w:ascii="Verdana" w:eastAsia="Times New Roman" w:hAnsi="Verdana" w:cs="Times New Roman"/>
        </w:rPr>
        <w:t>)</w:t>
      </w:r>
    </w:p>
    <w:p w14:paraId="59D3E4DD" w14:textId="77777777" w:rsidR="00FF3807" w:rsidRPr="00B570A5" w:rsidRDefault="00FF3807" w:rsidP="00BB149F">
      <w:pPr>
        <w:spacing w:after="0" w:line="240" w:lineRule="auto"/>
        <w:jc w:val="both"/>
        <w:rPr>
          <w:rFonts w:ascii="Arial Narrow" w:eastAsia="Times New Roman" w:hAnsi="Arial Narrow" w:cs="Arial"/>
          <w:color w:val="000000"/>
        </w:rPr>
      </w:pPr>
    </w:p>
    <w:p w14:paraId="30FFC8E7" w14:textId="77777777" w:rsidR="00534EF3" w:rsidRDefault="00534EF3" w:rsidP="0088483C">
      <w:pPr>
        <w:spacing w:before="120" w:after="120" w:line="240" w:lineRule="auto"/>
        <w:jc w:val="both"/>
        <w:rPr>
          <w:rFonts w:ascii="Verdana" w:eastAsia="Times New Roman" w:hAnsi="Verdana" w:cs="Times New Roman"/>
          <w:b/>
        </w:rPr>
      </w:pPr>
      <w:r w:rsidRPr="00534EF3">
        <w:rPr>
          <w:rFonts w:ascii="Verdana" w:eastAsia="Times New Roman" w:hAnsi="Verdana" w:cs="Times New Roman"/>
          <w:b/>
        </w:rPr>
        <w:t>Что необходимо для реализации потенциала</w:t>
      </w:r>
    </w:p>
    <w:p w14:paraId="5FCB1EDB" w14:textId="77777777" w:rsidR="002C591D" w:rsidRDefault="0088483C" w:rsidP="0088483C">
      <w:pPr>
        <w:spacing w:before="120" w:after="120" w:line="240" w:lineRule="auto"/>
        <w:jc w:val="both"/>
        <w:rPr>
          <w:rFonts w:ascii="Verdana" w:eastAsia="Times New Roman" w:hAnsi="Verdana" w:cs="Times New Roman"/>
        </w:rPr>
      </w:pPr>
      <w:r w:rsidRPr="0088483C">
        <w:rPr>
          <w:rFonts w:ascii="Verdana" w:eastAsia="Times New Roman" w:hAnsi="Verdana" w:cs="Times New Roman"/>
        </w:rPr>
        <w:t xml:space="preserve">Для раскрытия потенциала складского сектора эксперты ЕАБР </w:t>
      </w:r>
      <w:r w:rsidR="007F6C39" w:rsidRPr="007F6C39">
        <w:rPr>
          <w:rFonts w:ascii="Verdana" w:eastAsia="Times New Roman" w:hAnsi="Verdana" w:cs="Times New Roman"/>
        </w:rPr>
        <w:t>подчеркивают необходимость</w:t>
      </w:r>
      <w:r w:rsidRPr="0088483C">
        <w:rPr>
          <w:rFonts w:ascii="Verdana" w:eastAsia="Times New Roman" w:hAnsi="Verdana" w:cs="Times New Roman"/>
        </w:rPr>
        <w:t xml:space="preserve"> согласованны</w:t>
      </w:r>
      <w:r w:rsidR="007F6C39">
        <w:rPr>
          <w:rFonts w:ascii="Verdana" w:eastAsia="Times New Roman" w:hAnsi="Verdana" w:cs="Times New Roman"/>
        </w:rPr>
        <w:t>х</w:t>
      </w:r>
      <w:r w:rsidRPr="0088483C">
        <w:rPr>
          <w:rFonts w:ascii="Verdana" w:eastAsia="Times New Roman" w:hAnsi="Verdana" w:cs="Times New Roman"/>
        </w:rPr>
        <w:t xml:space="preserve"> действи</w:t>
      </w:r>
      <w:r w:rsidR="007F6C39">
        <w:rPr>
          <w:rFonts w:ascii="Verdana" w:eastAsia="Times New Roman" w:hAnsi="Verdana" w:cs="Times New Roman"/>
        </w:rPr>
        <w:t>й</w:t>
      </w:r>
      <w:r w:rsidRPr="0088483C">
        <w:rPr>
          <w:rFonts w:ascii="Verdana" w:eastAsia="Times New Roman" w:hAnsi="Verdana" w:cs="Times New Roman"/>
        </w:rPr>
        <w:t xml:space="preserve"> государств, бизнеса и международных институтов. Главный приоритет </w:t>
      </w:r>
      <w:r>
        <w:rPr>
          <w:rFonts w:ascii="Verdana" w:eastAsia="Times New Roman" w:hAnsi="Verdana" w:cs="Times New Roman"/>
        </w:rPr>
        <w:t>–</w:t>
      </w:r>
      <w:r w:rsidRPr="0088483C">
        <w:rPr>
          <w:rFonts w:ascii="Verdana" w:eastAsia="Times New Roman" w:hAnsi="Verdana" w:cs="Times New Roman"/>
        </w:rPr>
        <w:t xml:space="preserve"> формирование единой институциональной среды, повышающей инвестиционную привлекательность и прозрачность рынка. </w:t>
      </w:r>
    </w:p>
    <w:p w14:paraId="0E6BA8B4" w14:textId="77777777" w:rsidR="002C591D" w:rsidRPr="002C591D" w:rsidRDefault="002C591D" w:rsidP="0088483C">
      <w:pPr>
        <w:spacing w:before="120" w:after="120" w:line="240" w:lineRule="auto"/>
        <w:jc w:val="both"/>
        <w:rPr>
          <w:rFonts w:ascii="Verdana" w:eastAsia="Times New Roman" w:hAnsi="Verdana" w:cs="Times New Roman"/>
          <w:b/>
        </w:rPr>
      </w:pPr>
      <w:r w:rsidRPr="002C591D">
        <w:rPr>
          <w:rFonts w:ascii="Verdana" w:eastAsia="Times New Roman" w:hAnsi="Verdana" w:cs="Times New Roman"/>
          <w:b/>
        </w:rPr>
        <w:t>Ключевые меры:</w:t>
      </w:r>
    </w:p>
    <w:p w14:paraId="5333BF81" w14:textId="77777777" w:rsidR="002C591D" w:rsidRPr="002C591D" w:rsidRDefault="002C591D" w:rsidP="008F119F">
      <w:pPr>
        <w:spacing w:before="120" w:after="120" w:line="240" w:lineRule="auto"/>
        <w:ind w:firstLine="720"/>
        <w:jc w:val="both"/>
        <w:rPr>
          <w:rFonts w:ascii="Verdana" w:eastAsia="Times New Roman" w:hAnsi="Verdana" w:cs="Times New Roman"/>
        </w:rPr>
      </w:pPr>
      <w:r w:rsidRPr="002C591D">
        <w:rPr>
          <w:rFonts w:ascii="Verdana" w:eastAsia="Times New Roman" w:hAnsi="Verdana" w:cs="Times New Roman"/>
        </w:rPr>
        <w:t>•</w:t>
      </w:r>
      <w:r w:rsidRPr="002C591D">
        <w:rPr>
          <w:rFonts w:ascii="Verdana" w:eastAsia="Times New Roman" w:hAnsi="Verdana" w:cs="Times New Roman"/>
        </w:rPr>
        <w:tab/>
        <w:t xml:space="preserve">Унификация стандартов и </w:t>
      </w:r>
      <w:r>
        <w:rPr>
          <w:rFonts w:ascii="Verdana" w:eastAsia="Times New Roman" w:hAnsi="Verdana" w:cs="Times New Roman"/>
        </w:rPr>
        <w:t xml:space="preserve">гармонизация </w:t>
      </w:r>
      <w:r w:rsidRPr="002C591D">
        <w:rPr>
          <w:rFonts w:ascii="Verdana" w:eastAsia="Times New Roman" w:hAnsi="Verdana" w:cs="Times New Roman"/>
        </w:rPr>
        <w:t>таможенных процедур</w:t>
      </w:r>
    </w:p>
    <w:p w14:paraId="0346A7F6" w14:textId="77777777" w:rsidR="002C591D" w:rsidRPr="002C591D" w:rsidRDefault="002C591D" w:rsidP="008F119F">
      <w:pPr>
        <w:spacing w:before="120" w:after="120" w:line="240" w:lineRule="auto"/>
        <w:ind w:firstLine="720"/>
        <w:jc w:val="both"/>
        <w:rPr>
          <w:rFonts w:ascii="Verdana" w:eastAsia="Times New Roman" w:hAnsi="Verdana" w:cs="Times New Roman"/>
        </w:rPr>
      </w:pPr>
      <w:r w:rsidRPr="002C591D">
        <w:rPr>
          <w:rFonts w:ascii="Verdana" w:eastAsia="Times New Roman" w:hAnsi="Verdana" w:cs="Times New Roman"/>
        </w:rPr>
        <w:t>•</w:t>
      </w:r>
      <w:r w:rsidRPr="002C591D">
        <w:rPr>
          <w:rFonts w:ascii="Verdana" w:eastAsia="Times New Roman" w:hAnsi="Verdana" w:cs="Times New Roman"/>
        </w:rPr>
        <w:tab/>
        <w:t>Внедрение цифровых платформ и систем управления логистикой</w:t>
      </w:r>
    </w:p>
    <w:p w14:paraId="48A631A7" w14:textId="75EA3E6C" w:rsidR="002C591D" w:rsidRPr="002C591D" w:rsidRDefault="002C591D" w:rsidP="008F119F">
      <w:pPr>
        <w:spacing w:before="120" w:after="120" w:line="240" w:lineRule="auto"/>
        <w:ind w:left="1440" w:hanging="720"/>
        <w:jc w:val="both"/>
        <w:rPr>
          <w:rFonts w:ascii="Verdana" w:eastAsia="Times New Roman" w:hAnsi="Verdana" w:cs="Times New Roman"/>
        </w:rPr>
      </w:pPr>
      <w:r w:rsidRPr="002C591D">
        <w:rPr>
          <w:rFonts w:ascii="Verdana" w:eastAsia="Times New Roman" w:hAnsi="Verdana" w:cs="Times New Roman"/>
        </w:rPr>
        <w:t>•</w:t>
      </w:r>
      <w:r w:rsidR="008F119F">
        <w:rPr>
          <w:rFonts w:ascii="Verdana" w:eastAsia="Times New Roman" w:hAnsi="Verdana" w:cs="Times New Roman"/>
        </w:rPr>
        <w:tab/>
      </w:r>
      <w:r>
        <w:rPr>
          <w:rFonts w:ascii="Verdana" w:eastAsia="Times New Roman" w:hAnsi="Verdana" w:cs="Times New Roman"/>
        </w:rPr>
        <w:t>У</w:t>
      </w:r>
      <w:r w:rsidRPr="002C591D">
        <w:rPr>
          <w:rFonts w:ascii="Verdana" w:eastAsia="Times New Roman" w:hAnsi="Verdana" w:cs="Times New Roman"/>
        </w:rPr>
        <w:t xml:space="preserve">скоренное строительство распределительных центров и </w:t>
      </w:r>
      <w:proofErr w:type="spellStart"/>
      <w:r w:rsidRPr="002C591D">
        <w:rPr>
          <w:rFonts w:ascii="Verdana" w:eastAsia="Times New Roman" w:hAnsi="Verdana" w:cs="Times New Roman"/>
        </w:rPr>
        <w:t>нишевых</w:t>
      </w:r>
      <w:proofErr w:type="spellEnd"/>
      <w:r w:rsidRPr="002C591D">
        <w:rPr>
          <w:rFonts w:ascii="Verdana" w:eastAsia="Times New Roman" w:hAnsi="Verdana" w:cs="Times New Roman"/>
        </w:rPr>
        <w:t xml:space="preserve"> объектов для </w:t>
      </w:r>
      <w:proofErr w:type="spellStart"/>
      <w:r w:rsidRPr="002C591D">
        <w:rPr>
          <w:rFonts w:ascii="Verdana" w:eastAsia="Times New Roman" w:hAnsi="Verdana" w:cs="Times New Roman"/>
        </w:rPr>
        <w:t>агро</w:t>
      </w:r>
      <w:proofErr w:type="spellEnd"/>
      <w:r w:rsidRPr="002C591D">
        <w:rPr>
          <w:rFonts w:ascii="Verdana" w:eastAsia="Times New Roman" w:hAnsi="Verdana" w:cs="Times New Roman"/>
        </w:rPr>
        <w:t xml:space="preserve">- и </w:t>
      </w:r>
      <w:proofErr w:type="spellStart"/>
      <w:r w:rsidRPr="002C591D">
        <w:rPr>
          <w:rFonts w:ascii="Verdana" w:eastAsia="Times New Roman" w:hAnsi="Verdana" w:cs="Times New Roman"/>
        </w:rPr>
        <w:t>фармсектора</w:t>
      </w:r>
      <w:proofErr w:type="spellEnd"/>
      <w:r w:rsidR="00144EA4" w:rsidRPr="00144EA4">
        <w:rPr>
          <w:rFonts w:ascii="Verdana" w:eastAsia="Times New Roman" w:hAnsi="Verdana" w:cs="Times New Roman"/>
        </w:rPr>
        <w:t xml:space="preserve">, </w:t>
      </w:r>
      <w:proofErr w:type="spellStart"/>
      <w:r w:rsidRPr="002C591D">
        <w:rPr>
          <w:rFonts w:ascii="Verdana" w:eastAsia="Times New Roman" w:hAnsi="Verdana" w:cs="Times New Roman"/>
        </w:rPr>
        <w:t>мультимодальных</w:t>
      </w:r>
      <w:proofErr w:type="spellEnd"/>
      <w:r w:rsidRPr="002C591D">
        <w:rPr>
          <w:rFonts w:ascii="Verdana" w:eastAsia="Times New Roman" w:hAnsi="Verdana" w:cs="Times New Roman"/>
        </w:rPr>
        <w:t xml:space="preserve"> </w:t>
      </w:r>
      <w:proofErr w:type="spellStart"/>
      <w:r w:rsidRPr="002C591D">
        <w:rPr>
          <w:rFonts w:ascii="Verdana" w:eastAsia="Times New Roman" w:hAnsi="Verdana" w:cs="Times New Roman"/>
        </w:rPr>
        <w:t>хабов</w:t>
      </w:r>
      <w:proofErr w:type="spellEnd"/>
      <w:r w:rsidRPr="002C591D">
        <w:rPr>
          <w:rFonts w:ascii="Verdana" w:eastAsia="Times New Roman" w:hAnsi="Verdana" w:cs="Times New Roman"/>
        </w:rPr>
        <w:t xml:space="preserve"> и «сухих портов»</w:t>
      </w:r>
      <w:r w:rsidR="00B20168">
        <w:rPr>
          <w:rFonts w:ascii="Verdana" w:eastAsia="Times New Roman" w:hAnsi="Verdana" w:cs="Times New Roman"/>
        </w:rPr>
        <w:t xml:space="preserve"> </w:t>
      </w:r>
      <w:r w:rsidR="00B20168" w:rsidRPr="0088483C">
        <w:rPr>
          <w:rFonts w:ascii="Verdana" w:eastAsia="Times New Roman" w:hAnsi="Verdana" w:cs="Times New Roman"/>
        </w:rPr>
        <w:t>в узловых точках транспортных коридоров</w:t>
      </w:r>
    </w:p>
    <w:p w14:paraId="2ACBB0BC" w14:textId="156F0A89" w:rsidR="002C591D" w:rsidRPr="002C591D" w:rsidRDefault="002C591D" w:rsidP="001809CB">
      <w:pPr>
        <w:spacing w:before="120" w:after="120" w:line="240" w:lineRule="auto"/>
        <w:ind w:left="1440" w:hanging="720"/>
        <w:jc w:val="both"/>
        <w:rPr>
          <w:rFonts w:ascii="Verdana" w:eastAsia="Times New Roman" w:hAnsi="Verdana" w:cs="Times New Roman"/>
        </w:rPr>
      </w:pPr>
      <w:r w:rsidRPr="002C591D">
        <w:rPr>
          <w:rFonts w:ascii="Verdana" w:eastAsia="Times New Roman" w:hAnsi="Verdana" w:cs="Times New Roman"/>
        </w:rPr>
        <w:t>•</w:t>
      </w:r>
      <w:r w:rsidRPr="002C591D">
        <w:rPr>
          <w:rFonts w:ascii="Verdana" w:eastAsia="Times New Roman" w:hAnsi="Verdana" w:cs="Times New Roman"/>
        </w:rPr>
        <w:tab/>
      </w:r>
      <w:r w:rsidR="00144EA4">
        <w:rPr>
          <w:rFonts w:ascii="Verdana" w:eastAsia="Times New Roman" w:hAnsi="Verdana" w:cs="Times New Roman"/>
        </w:rPr>
        <w:t>Р</w:t>
      </w:r>
      <w:r w:rsidR="00144EA4" w:rsidRPr="00144EA4">
        <w:rPr>
          <w:rFonts w:ascii="Verdana" w:eastAsia="Times New Roman" w:hAnsi="Verdana" w:cs="Times New Roman"/>
        </w:rPr>
        <w:t>азвити</w:t>
      </w:r>
      <w:r w:rsidR="00144EA4">
        <w:rPr>
          <w:rFonts w:ascii="Verdana" w:eastAsia="Times New Roman" w:hAnsi="Verdana" w:cs="Times New Roman"/>
        </w:rPr>
        <w:t>е</w:t>
      </w:r>
      <w:r w:rsidR="00144EA4" w:rsidRPr="00144EA4">
        <w:rPr>
          <w:rFonts w:ascii="Verdana" w:eastAsia="Times New Roman" w:hAnsi="Verdana" w:cs="Times New Roman"/>
        </w:rPr>
        <w:t xml:space="preserve"> механизмов ГЧП</w:t>
      </w:r>
      <w:r w:rsidR="00296EFF">
        <w:rPr>
          <w:rFonts w:ascii="Verdana" w:eastAsia="Times New Roman" w:hAnsi="Verdana" w:cs="Times New Roman"/>
        </w:rPr>
        <w:t>, инструментов коллективного финансирования</w:t>
      </w:r>
      <w:r w:rsidR="00144EA4" w:rsidRPr="00144EA4">
        <w:rPr>
          <w:rFonts w:ascii="Verdana" w:eastAsia="Times New Roman" w:hAnsi="Verdana" w:cs="Times New Roman"/>
        </w:rPr>
        <w:t xml:space="preserve"> и инфраструктурных облигаций</w:t>
      </w:r>
    </w:p>
    <w:p w14:paraId="6347D757" w14:textId="77777777" w:rsidR="00144EA4" w:rsidRDefault="002C591D" w:rsidP="008F119F">
      <w:pPr>
        <w:spacing w:before="120" w:after="120" w:line="240" w:lineRule="auto"/>
        <w:ind w:firstLine="720"/>
        <w:jc w:val="both"/>
        <w:rPr>
          <w:rFonts w:ascii="Verdana" w:eastAsia="Times New Roman" w:hAnsi="Verdana" w:cs="Times New Roman"/>
        </w:rPr>
      </w:pPr>
      <w:r w:rsidRPr="002C591D">
        <w:rPr>
          <w:rFonts w:ascii="Verdana" w:eastAsia="Times New Roman" w:hAnsi="Verdana" w:cs="Times New Roman"/>
        </w:rPr>
        <w:t>•</w:t>
      </w:r>
      <w:r w:rsidRPr="002C591D">
        <w:rPr>
          <w:rFonts w:ascii="Verdana" w:eastAsia="Times New Roman" w:hAnsi="Verdana" w:cs="Times New Roman"/>
        </w:rPr>
        <w:tab/>
      </w:r>
      <w:r w:rsidR="00144EA4">
        <w:rPr>
          <w:rFonts w:ascii="Verdana" w:eastAsia="Times New Roman" w:hAnsi="Verdana" w:cs="Times New Roman"/>
        </w:rPr>
        <w:t>Стимулирование инвестиций через налоговые льготы</w:t>
      </w:r>
    </w:p>
    <w:p w14:paraId="561D038A" w14:textId="77777777" w:rsidR="00144EA4" w:rsidRPr="00144EA4" w:rsidRDefault="002C591D" w:rsidP="008F119F">
      <w:pPr>
        <w:spacing w:before="120" w:after="120" w:line="240" w:lineRule="auto"/>
        <w:ind w:firstLine="720"/>
        <w:jc w:val="both"/>
        <w:rPr>
          <w:rFonts w:ascii="Verdana" w:eastAsia="Times New Roman" w:hAnsi="Verdana" w:cs="Times New Roman"/>
        </w:rPr>
      </w:pPr>
      <w:r w:rsidRPr="002C591D">
        <w:rPr>
          <w:rFonts w:ascii="Verdana" w:eastAsia="Times New Roman" w:hAnsi="Verdana" w:cs="Times New Roman"/>
        </w:rPr>
        <w:t>•</w:t>
      </w:r>
      <w:r w:rsidRPr="002C591D">
        <w:rPr>
          <w:rFonts w:ascii="Verdana" w:eastAsia="Times New Roman" w:hAnsi="Verdana" w:cs="Times New Roman"/>
        </w:rPr>
        <w:tab/>
      </w:r>
      <w:r w:rsidR="00144EA4" w:rsidRPr="00144EA4">
        <w:rPr>
          <w:rFonts w:ascii="Verdana" w:eastAsia="Times New Roman" w:hAnsi="Verdana" w:cs="Times New Roman"/>
        </w:rPr>
        <w:t>Улучшение кадрового потенциала</w:t>
      </w:r>
    </w:p>
    <w:p w14:paraId="36349EF3" w14:textId="77777777" w:rsidR="00144EA4" w:rsidRDefault="00144EA4" w:rsidP="00144EA4">
      <w:pPr>
        <w:spacing w:before="120" w:after="120" w:line="240" w:lineRule="auto"/>
        <w:jc w:val="both"/>
        <w:rPr>
          <w:rFonts w:ascii="Verdana" w:eastAsia="Times New Roman" w:hAnsi="Verdana" w:cs="Times New Roman"/>
        </w:rPr>
      </w:pPr>
      <w:r w:rsidRPr="0088483C">
        <w:rPr>
          <w:rFonts w:ascii="Verdana" w:eastAsia="Times New Roman" w:hAnsi="Verdana" w:cs="Times New Roman"/>
        </w:rPr>
        <w:t>Вс</w:t>
      </w:r>
      <w:r>
        <w:rPr>
          <w:rFonts w:ascii="Verdana" w:eastAsia="Times New Roman" w:hAnsi="Verdana" w:cs="Times New Roman"/>
        </w:rPr>
        <w:t>е</w:t>
      </w:r>
      <w:r w:rsidRPr="0088483C">
        <w:rPr>
          <w:rFonts w:ascii="Verdana" w:eastAsia="Times New Roman" w:hAnsi="Verdana" w:cs="Times New Roman"/>
        </w:rPr>
        <w:t xml:space="preserve"> большее значение приобретают «зел</w:t>
      </w:r>
      <w:r>
        <w:rPr>
          <w:rFonts w:ascii="Verdana" w:eastAsia="Times New Roman" w:hAnsi="Verdana" w:cs="Times New Roman"/>
        </w:rPr>
        <w:t>е</w:t>
      </w:r>
      <w:r w:rsidRPr="0088483C">
        <w:rPr>
          <w:rFonts w:ascii="Verdana" w:eastAsia="Times New Roman" w:hAnsi="Verdana" w:cs="Times New Roman"/>
        </w:rPr>
        <w:t>ные» стандарты энергоэффективности и ESG-подходы. Их внедрение позволит сократить издержки, повысить устойчивость логистических цепочек и привлечь долгосрочных институциональных инвесторов.</w:t>
      </w:r>
    </w:p>
    <w:p w14:paraId="1BC2919E" w14:textId="77777777" w:rsidR="00FB79F5" w:rsidRPr="003E6EC3" w:rsidRDefault="00FB79F5" w:rsidP="00FB79F5">
      <w:pPr>
        <w:spacing w:before="120" w:after="120" w:line="240" w:lineRule="auto"/>
        <w:jc w:val="both"/>
        <w:rPr>
          <w:rFonts w:ascii="Verdana" w:eastAsia="Times New Roman" w:hAnsi="Verdana" w:cs="Times New Roman"/>
        </w:rPr>
      </w:pPr>
      <w:r>
        <w:rPr>
          <w:rFonts w:ascii="Verdana" w:eastAsia="Times New Roman" w:hAnsi="Verdana" w:cs="Times New Roman"/>
        </w:rPr>
        <w:t>Р</w:t>
      </w:r>
      <w:r w:rsidRPr="003E6EC3">
        <w:rPr>
          <w:rFonts w:ascii="Verdana" w:eastAsia="Times New Roman" w:hAnsi="Verdana" w:cs="Times New Roman"/>
        </w:rPr>
        <w:t xml:space="preserve">еализация </w:t>
      </w:r>
      <w:r>
        <w:rPr>
          <w:rFonts w:ascii="Verdana" w:eastAsia="Times New Roman" w:hAnsi="Verdana" w:cs="Times New Roman"/>
        </w:rPr>
        <w:t xml:space="preserve">предложенных </w:t>
      </w:r>
      <w:r w:rsidRPr="003E6EC3">
        <w:rPr>
          <w:rFonts w:ascii="Verdana" w:eastAsia="Times New Roman" w:hAnsi="Verdana" w:cs="Times New Roman"/>
        </w:rPr>
        <w:t>мер</w:t>
      </w:r>
      <w:r w:rsidRPr="004546E8">
        <w:rPr>
          <w:rFonts w:ascii="Verdana" w:eastAsia="Times New Roman" w:hAnsi="Verdana" w:cs="Times New Roman"/>
        </w:rPr>
        <w:t xml:space="preserve"> позволит устранить существующие «узкие места» складской инфраструктуры </w:t>
      </w:r>
      <w:r>
        <w:rPr>
          <w:rFonts w:ascii="Verdana" w:eastAsia="Times New Roman" w:hAnsi="Verdana" w:cs="Times New Roman"/>
        </w:rPr>
        <w:t xml:space="preserve">в </w:t>
      </w:r>
      <w:r w:rsidRPr="004546E8">
        <w:rPr>
          <w:rFonts w:ascii="Verdana" w:eastAsia="Times New Roman" w:hAnsi="Verdana" w:cs="Times New Roman"/>
        </w:rPr>
        <w:t>Евразийском регион</w:t>
      </w:r>
      <w:r>
        <w:rPr>
          <w:rFonts w:ascii="Verdana" w:eastAsia="Times New Roman" w:hAnsi="Verdana" w:cs="Times New Roman"/>
        </w:rPr>
        <w:t>е</w:t>
      </w:r>
      <w:r w:rsidRPr="004546E8">
        <w:rPr>
          <w:rFonts w:ascii="Verdana" w:eastAsia="Times New Roman" w:hAnsi="Verdana" w:cs="Times New Roman"/>
        </w:rPr>
        <w:t>. Современный евразийский транспортно-логистический каркас свяжет</w:t>
      </w:r>
      <w:r w:rsidR="00281D59">
        <w:rPr>
          <w:rFonts w:ascii="Verdana" w:eastAsia="Times New Roman" w:hAnsi="Verdana" w:cs="Times New Roman"/>
        </w:rPr>
        <w:t xml:space="preserve"> </w:t>
      </w:r>
      <w:r w:rsidRPr="004546E8">
        <w:rPr>
          <w:rFonts w:ascii="Verdana" w:eastAsia="Times New Roman" w:hAnsi="Verdana" w:cs="Times New Roman"/>
        </w:rPr>
        <w:t>ключевые экономические центры и поддержит дальнейший рост торговых потоков в новых геоэкономических реалиях. Это создаст прочную основу для интеграции региона в глобальные цепочки поставок и раскрытия его экономического потенциала.</w:t>
      </w:r>
    </w:p>
    <w:p w14:paraId="12591CDD" w14:textId="6D13403A" w:rsidR="0088483C" w:rsidRPr="003E6EC3" w:rsidRDefault="0088483C" w:rsidP="0088483C">
      <w:pPr>
        <w:spacing w:before="120" w:after="120" w:line="240" w:lineRule="auto"/>
        <w:jc w:val="both"/>
        <w:rPr>
          <w:rFonts w:ascii="Verdana" w:hAnsi="Verdana" w:cs="Arial"/>
        </w:rPr>
      </w:pPr>
      <w:r w:rsidRPr="003E6EC3">
        <w:rPr>
          <w:rFonts w:ascii="Verdana" w:hAnsi="Verdana" w:cs="Arial"/>
        </w:rPr>
        <w:t>Подробнее с содержанием доклада «</w:t>
      </w:r>
      <w:r w:rsidRPr="004475B0">
        <w:rPr>
          <w:rFonts w:ascii="Verdana" w:eastAsia="Times New Roman" w:hAnsi="Verdana" w:cs="Times New Roman"/>
        </w:rPr>
        <w:t>Складская инфраструктура Евразийского региона:</w:t>
      </w:r>
      <w:r w:rsidRPr="00B570A5">
        <w:rPr>
          <w:rFonts w:ascii="Verdana" w:eastAsia="Times New Roman" w:hAnsi="Verdana" w:cs="Times New Roman"/>
        </w:rPr>
        <w:t xml:space="preserve"> </w:t>
      </w:r>
      <w:r w:rsidRPr="004475B0">
        <w:rPr>
          <w:rFonts w:ascii="Verdana" w:eastAsia="Times New Roman" w:hAnsi="Verdana" w:cs="Times New Roman"/>
        </w:rPr>
        <w:t>возможность десятилетия</w:t>
      </w:r>
      <w:r w:rsidRPr="003E6EC3">
        <w:rPr>
          <w:rFonts w:ascii="Verdana" w:hAnsi="Verdana" w:cs="Arial"/>
        </w:rPr>
        <w:t xml:space="preserve">» </w:t>
      </w:r>
      <w:r w:rsidR="0045144B">
        <w:rPr>
          <w:rFonts w:ascii="Verdana" w:hAnsi="Verdana" w:cs="Arial"/>
        </w:rPr>
        <w:t xml:space="preserve">и иных материалов </w:t>
      </w:r>
      <w:r w:rsidRPr="003E6EC3">
        <w:rPr>
          <w:rFonts w:ascii="Verdana" w:hAnsi="Verdana" w:cs="Arial"/>
        </w:rPr>
        <w:t xml:space="preserve">можно ознакомиться </w:t>
      </w:r>
      <w:hyperlink r:id="rId7" w:history="1">
        <w:r w:rsidRPr="003E6EC3">
          <w:rPr>
            <w:rStyle w:val="a6"/>
            <w:rFonts w:ascii="Verdana" w:hAnsi="Verdana" w:cs="Arial"/>
          </w:rPr>
          <w:t>на сайте Банка</w:t>
        </w:r>
      </w:hyperlink>
      <w:r w:rsidRPr="003E6EC3">
        <w:rPr>
          <w:rFonts w:ascii="Verdana" w:hAnsi="Verdana" w:cs="Arial"/>
        </w:rPr>
        <w:t>.</w:t>
      </w:r>
    </w:p>
    <w:p w14:paraId="7FB5022E" w14:textId="77777777" w:rsidR="0088483C" w:rsidRPr="003E6EC3" w:rsidRDefault="0088483C" w:rsidP="00BB5973">
      <w:pPr>
        <w:pStyle w:val="a4"/>
        <w:shd w:val="clear" w:color="auto" w:fill="FFFFFF"/>
        <w:spacing w:before="120" w:beforeAutospacing="0" w:after="120" w:afterAutospacing="0"/>
        <w:textAlignment w:val="baseline"/>
        <w:rPr>
          <w:rFonts w:ascii="Verdana" w:eastAsiaTheme="minorHAnsi" w:hAnsi="Verdana"/>
          <w:b/>
          <w:bCs/>
          <w:i/>
          <w:iCs/>
          <w:color w:val="000000"/>
          <w:spacing w:val="-2"/>
          <w:sz w:val="22"/>
          <w:szCs w:val="22"/>
          <w:lang w:val="ru-RU"/>
        </w:rPr>
      </w:pPr>
      <w:r w:rsidRPr="003E6EC3">
        <w:rPr>
          <w:rFonts w:ascii="Verdana" w:hAnsi="Verdana"/>
          <w:b/>
          <w:bCs/>
          <w:i/>
          <w:iCs/>
          <w:color w:val="000000"/>
          <w:spacing w:val="-2"/>
          <w:sz w:val="22"/>
          <w:szCs w:val="22"/>
          <w:lang w:val="ru-RU"/>
        </w:rPr>
        <w:lastRenderedPageBreak/>
        <w:t>Справка:</w:t>
      </w:r>
    </w:p>
    <w:p w14:paraId="5E218BE1" w14:textId="77777777" w:rsidR="0088483C" w:rsidRPr="003E6EC3" w:rsidRDefault="0088483C" w:rsidP="00BB5973">
      <w:pPr>
        <w:pStyle w:val="a4"/>
        <w:shd w:val="clear" w:color="auto" w:fill="FFFFFF"/>
        <w:spacing w:before="120" w:beforeAutospacing="0" w:after="120" w:afterAutospacing="0"/>
        <w:jc w:val="both"/>
        <w:textAlignment w:val="baseline"/>
        <w:rPr>
          <w:rFonts w:ascii="Verdana" w:hAnsi="Verdana"/>
          <w:i/>
          <w:iCs/>
          <w:color w:val="000000"/>
          <w:spacing w:val="-2"/>
          <w:sz w:val="22"/>
          <w:szCs w:val="22"/>
          <w:lang w:val="ru-RU"/>
        </w:rPr>
      </w:pPr>
      <w:r w:rsidRPr="003E6EC3">
        <w:rPr>
          <w:rFonts w:ascii="Verdana" w:hAnsi="Verdana"/>
          <w:b/>
          <w:bCs/>
          <w:i/>
          <w:iCs/>
          <w:color w:val="000000"/>
          <w:spacing w:val="-2"/>
          <w:sz w:val="22"/>
          <w:szCs w:val="22"/>
          <w:bdr w:val="none" w:sz="0" w:space="0" w:color="auto" w:frame="1"/>
          <w:lang w:val="ru-RU"/>
        </w:rPr>
        <w:t>Евразийский банк развития (ЕАБР) —</w:t>
      </w:r>
      <w:r w:rsidRPr="003E6EC3">
        <w:rPr>
          <w:rFonts w:ascii="Verdana" w:hAnsi="Verdana"/>
          <w:i/>
          <w:iCs/>
          <w:color w:val="000000"/>
          <w:spacing w:val="-2"/>
          <w:sz w:val="22"/>
          <w:szCs w:val="22"/>
          <w:lang w:val="ru-RU"/>
        </w:rPr>
        <w:t xml:space="preserve"> многосторонний банк развития, осуществляющий инвестиционную деятельность на евразийском пространстве. Уже более 19 лет ЕАБР содействует укреплению и расширению экономических связей и всестороннему развитию стран-участниц. К июлю 2025 года в накопленном портфеле ЕАБР 319 проектов с общим объемом инвестиций на сумму 19,1 млрд долл. США. Основную долю в портфеле ЕАБР занимают проекты с интеграционным эффектом в сферах транспортной инфраструктуры, цифровых систем, зеленой энергетики, сельского хозяйства, промышленности и машиностроения. В своей деятельности Банк руководствуется Целями в области устойчивого развития ООН и принципами ESG.</w:t>
      </w:r>
    </w:p>
    <w:p w14:paraId="4800299A" w14:textId="77777777" w:rsidR="0088483C" w:rsidRPr="003E6EC3" w:rsidRDefault="0088483C" w:rsidP="00BB5973">
      <w:pPr>
        <w:pStyle w:val="a4"/>
        <w:shd w:val="clear" w:color="auto" w:fill="FFFFFF"/>
        <w:spacing w:before="120" w:beforeAutospacing="0" w:after="120" w:afterAutospacing="0"/>
        <w:jc w:val="both"/>
        <w:textAlignment w:val="baseline"/>
        <w:rPr>
          <w:rFonts w:ascii="Verdana" w:hAnsi="Verdana"/>
          <w:i/>
          <w:iCs/>
          <w:color w:val="000000"/>
          <w:spacing w:val="-2"/>
          <w:sz w:val="22"/>
          <w:szCs w:val="22"/>
          <w:lang w:val="ru-RU"/>
        </w:rPr>
      </w:pPr>
      <w:r w:rsidRPr="003E6EC3">
        <w:rPr>
          <w:rFonts w:ascii="Verdana" w:hAnsi="Verdana"/>
          <w:i/>
          <w:iCs/>
          <w:color w:val="000000"/>
          <w:spacing w:val="-2"/>
          <w:sz w:val="22"/>
          <w:szCs w:val="22"/>
          <w:lang w:val="ru-RU"/>
        </w:rPr>
        <w:t>ЕАБР в рамках Стратегии 2022–2026 реализует 3 мегапроекта: «Водно-энергетический комплекс Центральной Азии», «Евразийский транспортный каркас», «Евразийская товаропроводящая сеть».</w:t>
      </w:r>
    </w:p>
    <w:p w14:paraId="4948E43E" w14:textId="77777777" w:rsidR="0088483C" w:rsidRPr="003E6EC3" w:rsidRDefault="0088483C" w:rsidP="00BB5973">
      <w:pPr>
        <w:pStyle w:val="a4"/>
        <w:shd w:val="clear" w:color="auto" w:fill="FFFFFF"/>
        <w:spacing w:before="120" w:beforeAutospacing="0" w:after="120" w:afterAutospacing="0"/>
        <w:jc w:val="both"/>
        <w:textAlignment w:val="baseline"/>
        <w:rPr>
          <w:rFonts w:ascii="Verdana" w:hAnsi="Verdana"/>
          <w:b/>
          <w:bCs/>
          <w:color w:val="000000"/>
          <w:spacing w:val="-2"/>
          <w:sz w:val="22"/>
          <w:szCs w:val="22"/>
          <w:lang w:val="ru-RU"/>
        </w:rPr>
      </w:pPr>
      <w:r w:rsidRPr="003E6EC3">
        <w:rPr>
          <w:rFonts w:ascii="Verdana" w:hAnsi="Verdana"/>
          <w:b/>
          <w:bCs/>
          <w:color w:val="000000"/>
          <w:spacing w:val="-2"/>
          <w:sz w:val="22"/>
          <w:szCs w:val="22"/>
          <w:lang w:val="ru-RU"/>
        </w:rPr>
        <w:t>Контакты пресс-центра ЕАБР:</w:t>
      </w:r>
    </w:p>
    <w:p w14:paraId="0C68FC90" w14:textId="77777777" w:rsidR="0088483C" w:rsidRPr="003E6EC3" w:rsidRDefault="0088483C" w:rsidP="00BB5973">
      <w:pPr>
        <w:pStyle w:val="a4"/>
        <w:shd w:val="clear" w:color="auto" w:fill="FFFFFF"/>
        <w:spacing w:before="120" w:beforeAutospacing="0" w:after="120" w:afterAutospacing="0"/>
        <w:jc w:val="both"/>
        <w:textAlignment w:val="baseline"/>
        <w:rPr>
          <w:rFonts w:ascii="Verdana" w:hAnsi="Verdana"/>
          <w:i/>
          <w:iCs/>
          <w:color w:val="000000"/>
          <w:spacing w:val="-2"/>
          <w:sz w:val="22"/>
          <w:szCs w:val="22"/>
          <w:lang w:val="ru-RU"/>
        </w:rPr>
      </w:pPr>
      <w:r w:rsidRPr="003E6EC3">
        <w:rPr>
          <w:rFonts w:ascii="Verdana" w:hAnsi="Verdana"/>
          <w:i/>
          <w:iCs/>
          <w:color w:val="000000"/>
          <w:spacing w:val="-2"/>
          <w:sz w:val="22"/>
          <w:szCs w:val="22"/>
          <w:lang w:val="ru-RU"/>
        </w:rPr>
        <w:t>+7 (727) 244 40 44, доб. 4774 и 2160</w:t>
      </w:r>
    </w:p>
    <w:p w14:paraId="32ADD237" w14:textId="77777777" w:rsidR="0088483C" w:rsidRPr="003E6EC3" w:rsidRDefault="0087365D" w:rsidP="00BB5973">
      <w:pPr>
        <w:pStyle w:val="a4"/>
        <w:shd w:val="clear" w:color="auto" w:fill="FFFFFF"/>
        <w:spacing w:before="120" w:beforeAutospacing="0" w:after="120" w:afterAutospacing="0"/>
        <w:jc w:val="both"/>
        <w:textAlignment w:val="baseline"/>
        <w:rPr>
          <w:rFonts w:ascii="Verdana" w:hAnsi="Verdana"/>
          <w:color w:val="000000"/>
          <w:spacing w:val="-2"/>
          <w:sz w:val="22"/>
          <w:szCs w:val="22"/>
          <w:lang w:val="ru-RU"/>
        </w:rPr>
      </w:pPr>
      <w:hyperlink r:id="rId8" w:history="1">
        <w:r w:rsidR="0088483C" w:rsidRPr="003E6EC3">
          <w:rPr>
            <w:rStyle w:val="a6"/>
            <w:rFonts w:ascii="Verdana" w:hAnsi="Verdana"/>
            <w:i/>
            <w:iCs/>
            <w:spacing w:val="-2"/>
            <w:sz w:val="22"/>
            <w:szCs w:val="22"/>
            <w:bdr w:val="none" w:sz="0" w:space="0" w:color="auto" w:frame="1"/>
            <w:lang w:val="ru-RU"/>
          </w:rPr>
          <w:t>pressa@eabr.org</w:t>
        </w:r>
      </w:hyperlink>
    </w:p>
    <w:p w14:paraId="516660C5" w14:textId="241B5A41" w:rsidR="002E3223" w:rsidRPr="001809CB" w:rsidRDefault="0087365D" w:rsidP="003B6124">
      <w:pPr>
        <w:pStyle w:val="a4"/>
        <w:shd w:val="clear" w:color="auto" w:fill="FFFFFF"/>
        <w:spacing w:before="120" w:beforeAutospacing="0" w:after="120" w:afterAutospacing="0"/>
        <w:jc w:val="both"/>
        <w:textAlignment w:val="baseline"/>
        <w:rPr>
          <w:lang w:val="ru-RU"/>
        </w:rPr>
      </w:pPr>
      <w:hyperlink r:id="rId9" w:history="1">
        <w:r w:rsidR="0088483C" w:rsidRPr="003E6EC3">
          <w:rPr>
            <w:rStyle w:val="a6"/>
            <w:rFonts w:ascii="Verdana" w:hAnsi="Verdana"/>
            <w:i/>
            <w:iCs/>
            <w:spacing w:val="-2"/>
            <w:sz w:val="22"/>
            <w:szCs w:val="22"/>
            <w:bdr w:val="none" w:sz="0" w:space="0" w:color="auto" w:frame="1"/>
            <w:lang w:val="ru-RU"/>
          </w:rPr>
          <w:t>http://eabr.org</w:t>
        </w:r>
      </w:hyperlink>
    </w:p>
    <w:p w14:paraId="4862311A" w14:textId="77777777" w:rsidR="002E3223" w:rsidRPr="001809CB" w:rsidRDefault="002E3223">
      <w:pPr>
        <w:rPr>
          <w:rFonts w:ascii="Times New Roman" w:eastAsia="Times New Roman" w:hAnsi="Times New Roman" w:cs="Times New Roman"/>
          <w:sz w:val="24"/>
          <w:szCs w:val="24"/>
        </w:rPr>
      </w:pPr>
      <w:r>
        <w:br w:type="page"/>
      </w:r>
    </w:p>
    <w:p w14:paraId="7A0282D7" w14:textId="77777777" w:rsidR="002E3223" w:rsidRPr="001809CB" w:rsidRDefault="002E3223" w:rsidP="002E3223">
      <w:pPr>
        <w:spacing w:before="120" w:after="120" w:line="240" w:lineRule="auto"/>
        <w:jc w:val="both"/>
        <w:outlineLvl w:val="1"/>
        <w:rPr>
          <w:rFonts w:ascii="Verdana" w:eastAsia="Times New Roman" w:hAnsi="Verdana" w:cs="Times New Roman"/>
          <w:b/>
          <w:bCs/>
          <w:lang w:val="en-US"/>
        </w:rPr>
      </w:pPr>
      <w:r>
        <w:rPr>
          <w:rFonts w:ascii="Verdana" w:eastAsia="Times New Roman" w:hAnsi="Verdana" w:cs="Times New Roman"/>
          <w:b/>
          <w:bCs/>
          <w:lang w:val="en-GB"/>
        </w:rPr>
        <w:lastRenderedPageBreak/>
        <w:t>New Study by the EDB: Warehousing Infrastructure in Eurasia – An Opportunity of the Decade</w:t>
      </w:r>
    </w:p>
    <w:p w14:paraId="4D626E7C" w14:textId="77777777" w:rsidR="002E3223" w:rsidRPr="005561B9"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b/>
          <w:bCs/>
          <w:lang w:val="en-GB"/>
        </w:rPr>
        <w:t>Almaty, 23 October 2025.</w:t>
      </w:r>
    </w:p>
    <w:p w14:paraId="543578F7" w14:textId="2E66DC93" w:rsidR="002E3223" w:rsidRPr="001809CB" w:rsidRDefault="006904F5" w:rsidP="002E3223">
      <w:pPr>
        <w:spacing w:before="120" w:after="120" w:line="240" w:lineRule="auto"/>
        <w:jc w:val="both"/>
        <w:rPr>
          <w:rFonts w:ascii="Verdana" w:eastAsia="Times New Roman" w:hAnsi="Verdana" w:cs="Times New Roman"/>
          <w:b/>
          <w:lang w:val="en-US"/>
        </w:rPr>
      </w:pPr>
      <w:r>
        <w:rPr>
          <w:rFonts w:ascii="Verdana" w:eastAsia="Times New Roman" w:hAnsi="Verdana" w:cs="Times New Roman"/>
          <w:lang w:val="en-GB"/>
        </w:rPr>
        <w:t>Eurasia has</w:t>
      </w:r>
      <w:r w:rsidR="002E3223">
        <w:rPr>
          <w:rFonts w:ascii="Verdana" w:eastAsia="Times New Roman" w:hAnsi="Verdana" w:cs="Times New Roman"/>
          <w:lang w:val="en-GB"/>
        </w:rPr>
        <w:t xml:space="preserve"> entered a phase of accelerated warehousing infrastructure development. </w:t>
      </w:r>
      <w:r w:rsidR="002E3223">
        <w:rPr>
          <w:rFonts w:ascii="Verdana" w:eastAsia="Times New Roman" w:hAnsi="Verdana" w:cs="Times New Roman"/>
          <w:b/>
          <w:bCs/>
          <w:lang w:val="en-GB"/>
        </w:rPr>
        <w:t>From 2021 to the first quarter of 2025</w:t>
      </w:r>
      <w:r w:rsidR="002E3223">
        <w:rPr>
          <w:rFonts w:ascii="Verdana" w:eastAsia="Times New Roman" w:hAnsi="Verdana" w:cs="Times New Roman"/>
          <w:lang w:val="en-GB"/>
        </w:rPr>
        <w:t xml:space="preserve">, the total </w:t>
      </w:r>
      <w:r w:rsidR="0057413B" w:rsidRPr="0057413B">
        <w:rPr>
          <w:rFonts w:ascii="Verdana" w:eastAsia="Times New Roman" w:hAnsi="Verdana" w:cs="Times New Roman"/>
          <w:lang w:val="en-GB"/>
        </w:rPr>
        <w:t>warehouse space in the region</w:t>
      </w:r>
      <w:r w:rsidR="002E3223">
        <w:rPr>
          <w:rFonts w:ascii="Verdana" w:eastAsia="Times New Roman" w:hAnsi="Verdana" w:cs="Times New Roman"/>
          <w:lang w:val="en-GB"/>
        </w:rPr>
        <w:t xml:space="preserve"> increased from </w:t>
      </w:r>
      <w:r w:rsidR="002E3223">
        <w:rPr>
          <w:rFonts w:ascii="Verdana" w:eastAsia="Times New Roman" w:hAnsi="Verdana" w:cs="Times New Roman"/>
          <w:b/>
          <w:bCs/>
          <w:lang w:val="en-GB"/>
        </w:rPr>
        <w:t>44 to 58 million m</w:t>
      </w:r>
      <w:r w:rsidR="0057413B" w:rsidRPr="001809CB">
        <w:rPr>
          <w:rFonts w:ascii="Verdana" w:eastAsia="Times New Roman" w:hAnsi="Verdana" w:cs="Times New Roman"/>
          <w:b/>
          <w:bCs/>
          <w:vertAlign w:val="superscript"/>
          <w:lang w:val="en-US"/>
        </w:rPr>
        <w:t>2</w:t>
      </w:r>
      <w:r w:rsidR="002E3223">
        <w:rPr>
          <w:rFonts w:ascii="Verdana" w:eastAsia="Times New Roman" w:hAnsi="Verdana" w:cs="Times New Roman"/>
          <w:lang w:val="en-GB"/>
        </w:rPr>
        <w:t>.</w:t>
      </w:r>
      <w:r w:rsidR="002E3223">
        <w:rPr>
          <w:rFonts w:ascii="Verdana" w:eastAsia="Times New Roman" w:hAnsi="Verdana" w:cs="Times New Roman"/>
          <w:b/>
          <w:bCs/>
          <w:lang w:val="en-GB"/>
        </w:rPr>
        <w:t xml:space="preserve"> </w:t>
      </w:r>
    </w:p>
    <w:p w14:paraId="226E877B" w14:textId="5C0DB32A"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 xml:space="preserve">In Central Asia, the South Caucasus and Belarus, the </w:t>
      </w:r>
      <w:r w:rsidR="0057413B">
        <w:rPr>
          <w:rFonts w:ascii="Verdana" w:eastAsia="Times New Roman" w:hAnsi="Verdana" w:cs="Times New Roman"/>
          <w:lang w:val="en-GB"/>
        </w:rPr>
        <w:t xml:space="preserve">total stock </w:t>
      </w:r>
      <w:r>
        <w:rPr>
          <w:rFonts w:ascii="Verdana" w:eastAsia="Times New Roman" w:hAnsi="Verdana" w:cs="Times New Roman"/>
          <w:lang w:val="en-GB"/>
        </w:rPr>
        <w:t>has reached 5.4 million m</w:t>
      </w:r>
      <w:r w:rsidR="0057413B" w:rsidRPr="001809CB">
        <w:rPr>
          <w:rFonts w:ascii="Verdana" w:eastAsia="Times New Roman" w:hAnsi="Verdana" w:cs="Times New Roman"/>
          <w:vertAlign w:val="superscript"/>
          <w:lang w:val="en-GB"/>
        </w:rPr>
        <w:t>2</w:t>
      </w:r>
      <w:r>
        <w:rPr>
          <w:rFonts w:ascii="Verdana" w:eastAsia="Times New Roman" w:hAnsi="Verdana" w:cs="Times New Roman"/>
          <w:lang w:val="en-GB"/>
        </w:rPr>
        <w:t xml:space="preserve">. </w:t>
      </w:r>
    </w:p>
    <w:p w14:paraId="055034CE" w14:textId="77777777" w:rsidR="002E3223" w:rsidRPr="008216E0" w:rsidRDefault="002E3223" w:rsidP="002E3223">
      <w:pPr>
        <w:spacing w:before="120" w:after="120" w:line="240" w:lineRule="auto"/>
        <w:jc w:val="both"/>
        <w:rPr>
          <w:rFonts w:ascii="Verdana" w:eastAsia="Times New Roman" w:hAnsi="Verdana" w:cs="Times New Roman"/>
          <w:b/>
        </w:rPr>
      </w:pPr>
      <w:r>
        <w:rPr>
          <w:rFonts w:ascii="Verdana" w:eastAsia="Times New Roman" w:hAnsi="Verdana" w:cs="Times New Roman"/>
          <w:b/>
          <w:bCs/>
          <w:lang w:val="en-GB"/>
        </w:rPr>
        <w:t>Leaders in warehouse space:</w:t>
      </w:r>
    </w:p>
    <w:p w14:paraId="7106825F" w14:textId="149F279B" w:rsidR="002E3223" w:rsidRPr="008216E0" w:rsidRDefault="002E3223" w:rsidP="002E3223">
      <w:pPr>
        <w:pStyle w:val="a9"/>
        <w:numPr>
          <w:ilvl w:val="0"/>
          <w:numId w:val="7"/>
        </w:numPr>
        <w:spacing w:after="120" w:line="240" w:lineRule="auto"/>
        <w:ind w:right="475"/>
        <w:jc w:val="both"/>
        <w:rPr>
          <w:rFonts w:ascii="Verdana" w:eastAsia="Times New Roman" w:hAnsi="Verdana" w:cs="Times New Roman"/>
        </w:rPr>
      </w:pPr>
      <w:r>
        <w:rPr>
          <w:rFonts w:ascii="Verdana" w:eastAsia="Times New Roman" w:hAnsi="Verdana" w:cs="Times New Roman"/>
          <w:lang w:val="en-GB"/>
        </w:rPr>
        <w:t>Belarus – 2.4 million m</w:t>
      </w:r>
      <w:r w:rsidR="0057413B" w:rsidRPr="001809CB">
        <w:rPr>
          <w:rFonts w:ascii="Verdana" w:eastAsia="Times New Roman" w:hAnsi="Verdana" w:cs="Times New Roman"/>
          <w:vertAlign w:val="superscript"/>
          <w:lang w:val="en-GB"/>
        </w:rPr>
        <w:t>2</w:t>
      </w:r>
    </w:p>
    <w:p w14:paraId="21C477EA" w14:textId="033260A8" w:rsidR="002E3223" w:rsidRPr="008216E0" w:rsidRDefault="002E3223" w:rsidP="002E3223">
      <w:pPr>
        <w:pStyle w:val="a9"/>
        <w:numPr>
          <w:ilvl w:val="0"/>
          <w:numId w:val="7"/>
        </w:numPr>
        <w:spacing w:after="120" w:line="240" w:lineRule="auto"/>
        <w:ind w:right="475"/>
        <w:jc w:val="both"/>
        <w:rPr>
          <w:rFonts w:ascii="Verdana" w:eastAsia="Times New Roman" w:hAnsi="Verdana" w:cs="Times New Roman"/>
        </w:rPr>
      </w:pPr>
      <w:r>
        <w:rPr>
          <w:rFonts w:ascii="Verdana" w:eastAsia="Times New Roman" w:hAnsi="Verdana" w:cs="Times New Roman"/>
          <w:lang w:val="en-GB"/>
        </w:rPr>
        <w:t xml:space="preserve">Kazakhstan – 1.5 million </w:t>
      </w:r>
      <w:proofErr w:type="spellStart"/>
      <w:r>
        <w:rPr>
          <w:rFonts w:ascii="Verdana" w:eastAsia="Times New Roman" w:hAnsi="Verdana" w:cs="Times New Roman"/>
          <w:lang w:val="en-GB"/>
        </w:rPr>
        <w:t>sq</w:t>
      </w:r>
      <w:proofErr w:type="spellEnd"/>
      <w:r>
        <w:rPr>
          <w:rFonts w:ascii="Verdana" w:eastAsia="Times New Roman" w:hAnsi="Verdana" w:cs="Times New Roman"/>
          <w:lang w:val="en-GB"/>
        </w:rPr>
        <w:t xml:space="preserve"> m</w:t>
      </w:r>
      <w:r w:rsidR="0057413B" w:rsidRPr="001809CB">
        <w:rPr>
          <w:rFonts w:ascii="Verdana" w:eastAsia="Times New Roman" w:hAnsi="Verdana" w:cs="Times New Roman"/>
          <w:vertAlign w:val="superscript"/>
          <w:lang w:val="en-GB"/>
        </w:rPr>
        <w:t>2</w:t>
      </w:r>
    </w:p>
    <w:p w14:paraId="09391A29" w14:textId="3EB2AF6C" w:rsidR="002E3223" w:rsidRDefault="002E3223" w:rsidP="002E3223">
      <w:pPr>
        <w:pStyle w:val="a9"/>
        <w:numPr>
          <w:ilvl w:val="0"/>
          <w:numId w:val="7"/>
        </w:numPr>
        <w:spacing w:after="120" w:line="240" w:lineRule="auto"/>
        <w:ind w:right="475"/>
        <w:jc w:val="both"/>
        <w:rPr>
          <w:rFonts w:ascii="Verdana" w:eastAsia="Times New Roman" w:hAnsi="Verdana" w:cs="Times New Roman"/>
        </w:rPr>
      </w:pPr>
      <w:r>
        <w:rPr>
          <w:rFonts w:ascii="Verdana" w:eastAsia="Times New Roman" w:hAnsi="Verdana" w:cs="Times New Roman"/>
          <w:lang w:val="en-GB"/>
        </w:rPr>
        <w:t xml:space="preserve">Uzbekistan – 0.6 million </w:t>
      </w:r>
      <w:proofErr w:type="spellStart"/>
      <w:r>
        <w:rPr>
          <w:rFonts w:ascii="Verdana" w:eastAsia="Times New Roman" w:hAnsi="Verdana" w:cs="Times New Roman"/>
          <w:lang w:val="en-GB"/>
        </w:rPr>
        <w:t>sq</w:t>
      </w:r>
      <w:proofErr w:type="spellEnd"/>
      <w:r>
        <w:rPr>
          <w:rFonts w:ascii="Verdana" w:eastAsia="Times New Roman" w:hAnsi="Verdana" w:cs="Times New Roman"/>
          <w:lang w:val="en-GB"/>
        </w:rPr>
        <w:t xml:space="preserve"> m</w:t>
      </w:r>
      <w:r w:rsidR="0057413B" w:rsidRPr="001809CB">
        <w:rPr>
          <w:rFonts w:ascii="Verdana" w:eastAsia="Times New Roman" w:hAnsi="Verdana" w:cs="Times New Roman"/>
          <w:vertAlign w:val="superscript"/>
          <w:lang w:val="en-GB"/>
        </w:rPr>
        <w:t>2</w:t>
      </w:r>
    </w:p>
    <w:p w14:paraId="42D05A93" w14:textId="77777777" w:rsidR="006904F5" w:rsidRDefault="0057413B" w:rsidP="002E3223">
      <w:pPr>
        <w:spacing w:before="120" w:after="120" w:line="240" w:lineRule="auto"/>
        <w:jc w:val="both"/>
        <w:rPr>
          <w:rFonts w:ascii="Verdana" w:eastAsia="Times New Roman" w:hAnsi="Verdana" w:cs="Times New Roman"/>
          <w:lang w:val="en-GB"/>
        </w:rPr>
      </w:pPr>
      <w:r w:rsidRPr="0057413B">
        <w:rPr>
          <w:rFonts w:ascii="Verdana" w:eastAsia="Times New Roman" w:hAnsi="Verdana" w:cs="Times New Roman"/>
          <w:lang w:val="en-GB"/>
        </w:rPr>
        <w:t>Russia has been breaking records for several consecutive years with the commissioning of new space (53 million m²)</w:t>
      </w:r>
      <w:r>
        <w:rPr>
          <w:rFonts w:ascii="Verdana" w:eastAsia="Times New Roman" w:hAnsi="Verdana" w:cs="Times New Roman"/>
          <w:lang w:val="en-GB"/>
        </w:rPr>
        <w:t>.</w:t>
      </w:r>
    </w:p>
    <w:p w14:paraId="0BA2F250" w14:textId="0F8A7D8E"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 xml:space="preserve">These four countries are experiencing a </w:t>
      </w:r>
      <w:r w:rsidR="0057413B">
        <w:rPr>
          <w:rFonts w:ascii="Verdana" w:eastAsia="Times New Roman" w:hAnsi="Verdana" w:cs="Times New Roman"/>
          <w:lang w:val="en-GB"/>
        </w:rPr>
        <w:t xml:space="preserve">significant </w:t>
      </w:r>
      <w:r>
        <w:rPr>
          <w:rFonts w:ascii="Verdana" w:eastAsia="Times New Roman" w:hAnsi="Verdana" w:cs="Times New Roman"/>
          <w:lang w:val="en-GB"/>
        </w:rPr>
        <w:t>construction boom, with</w:t>
      </w:r>
      <w:r w:rsidR="006904F5" w:rsidRPr="006904F5">
        <w:rPr>
          <w:rFonts w:ascii="Verdana" w:eastAsia="Times New Roman" w:hAnsi="Verdana" w:cs="Times New Roman"/>
          <w:lang w:val="en-US"/>
        </w:rPr>
        <w:t xml:space="preserve"> </w:t>
      </w:r>
      <w:r w:rsidR="0057413B">
        <w:rPr>
          <w:rFonts w:ascii="Verdana" w:eastAsia="Times New Roman" w:hAnsi="Verdana" w:cs="Times New Roman"/>
          <w:lang w:val="en-GB"/>
        </w:rPr>
        <w:t>some areas showing signs of market overheating.</w:t>
      </w:r>
      <w:r>
        <w:rPr>
          <w:rFonts w:ascii="Verdana" w:eastAsia="Times New Roman" w:hAnsi="Verdana" w:cs="Times New Roman"/>
          <w:lang w:val="en-GB"/>
        </w:rPr>
        <w:t xml:space="preserve"> </w:t>
      </w:r>
      <w:r w:rsidR="00CF793E" w:rsidRPr="00CF793E">
        <w:rPr>
          <w:rFonts w:ascii="Verdana" w:eastAsia="Times New Roman" w:hAnsi="Verdana" w:cs="Times New Roman"/>
          <w:lang w:val="en-GB"/>
        </w:rPr>
        <w:t xml:space="preserve">In other countries, the market is only just beginning to emerge. </w:t>
      </w:r>
      <w:r>
        <w:rPr>
          <w:rFonts w:ascii="Verdana" w:eastAsia="Times New Roman" w:hAnsi="Verdana" w:cs="Times New Roman"/>
          <w:lang w:val="en-GB"/>
        </w:rPr>
        <w:t>Per capita availability in the region (</w:t>
      </w:r>
      <w:r>
        <w:rPr>
          <w:rFonts w:ascii="Verdana" w:eastAsia="Times New Roman" w:hAnsi="Verdana" w:cs="Times New Roman"/>
          <w:i/>
          <w:iCs/>
          <w:lang w:val="en-GB"/>
        </w:rPr>
        <w:t>the study covers Armenia, Azerbaijan, Belarus, Georgia, Kazakhstan, the Kyrgyz Republic, Tajikistan, Turkmenistan, Russia and Uzbekistan</w:t>
      </w:r>
      <w:r>
        <w:rPr>
          <w:rFonts w:ascii="Verdana" w:eastAsia="Times New Roman" w:hAnsi="Verdana" w:cs="Times New Roman"/>
          <w:lang w:val="en-GB"/>
        </w:rPr>
        <w:t>) remains extremely low (</w:t>
      </w:r>
      <w:r>
        <w:rPr>
          <w:rFonts w:ascii="Verdana" w:eastAsia="Times New Roman" w:hAnsi="Verdana" w:cs="Times New Roman"/>
          <w:i/>
          <w:iCs/>
          <w:lang w:val="en-GB"/>
        </w:rPr>
        <w:t>averaging 0.23 m</w:t>
      </w:r>
      <w:r w:rsidR="0057413B" w:rsidRPr="001809CB">
        <w:rPr>
          <w:rFonts w:ascii="Verdana" w:eastAsia="Times New Roman" w:hAnsi="Verdana" w:cs="Times New Roman"/>
          <w:i/>
          <w:iCs/>
          <w:vertAlign w:val="superscript"/>
          <w:lang w:val="en-GB"/>
        </w:rPr>
        <w:t>2</w:t>
      </w:r>
      <w:r>
        <w:rPr>
          <w:rFonts w:ascii="Verdana" w:eastAsia="Times New Roman" w:hAnsi="Verdana" w:cs="Times New Roman"/>
          <w:i/>
          <w:iCs/>
          <w:lang w:val="en-GB"/>
        </w:rPr>
        <w:t xml:space="preserve"> per capita</w:t>
      </w:r>
      <w:r>
        <w:rPr>
          <w:rFonts w:ascii="Verdana" w:eastAsia="Times New Roman" w:hAnsi="Verdana" w:cs="Times New Roman"/>
          <w:lang w:val="en-GB"/>
        </w:rPr>
        <w:t>).</w:t>
      </w:r>
      <w:r w:rsidR="00CF793E">
        <w:rPr>
          <w:rFonts w:ascii="Verdana" w:eastAsia="Times New Roman" w:hAnsi="Verdana" w:cs="Times New Roman"/>
          <w:lang w:val="en-GB"/>
        </w:rPr>
        <w:t xml:space="preserve"> </w:t>
      </w:r>
      <w:r w:rsidR="00CF793E" w:rsidRPr="00CF793E">
        <w:rPr>
          <w:rFonts w:ascii="Verdana" w:eastAsia="Times New Roman" w:hAnsi="Verdana" w:cs="Times New Roman"/>
          <w:lang w:val="en-GB"/>
        </w:rPr>
        <w:t>The region, which has long remained on the periphery of global logistics flows, is now shaping a new Eurasian logistics landscape. In the coming years, the market will maintain its high momentum: today, more than 20 million m</w:t>
      </w:r>
      <w:r w:rsidR="00CF793E" w:rsidRPr="001809CB">
        <w:rPr>
          <w:rFonts w:ascii="Verdana" w:eastAsia="Times New Roman" w:hAnsi="Verdana" w:cs="Times New Roman"/>
          <w:vertAlign w:val="superscript"/>
          <w:lang w:val="en-GB"/>
        </w:rPr>
        <w:t>2</w:t>
      </w:r>
      <w:r w:rsidR="00CF793E" w:rsidRPr="00CF793E">
        <w:rPr>
          <w:rFonts w:ascii="Verdana" w:eastAsia="Times New Roman" w:hAnsi="Verdana" w:cs="Times New Roman"/>
          <w:lang w:val="en-GB"/>
        </w:rPr>
        <w:t xml:space="preserve"> of new warehouse space are planned for construction in the region, including around 1.6 million m</w:t>
      </w:r>
      <w:r w:rsidR="00CF793E" w:rsidRPr="001809CB">
        <w:rPr>
          <w:rFonts w:ascii="Verdana" w:eastAsia="Times New Roman" w:hAnsi="Verdana" w:cs="Times New Roman"/>
          <w:vertAlign w:val="superscript"/>
          <w:lang w:val="en-GB"/>
        </w:rPr>
        <w:t>2</w:t>
      </w:r>
      <w:r w:rsidR="00CF793E" w:rsidRPr="00CF793E">
        <w:rPr>
          <w:rFonts w:ascii="Verdana" w:eastAsia="Times New Roman" w:hAnsi="Verdana" w:cs="Times New Roman"/>
          <w:lang w:val="en-GB"/>
        </w:rPr>
        <w:t xml:space="preserve"> in Central Asian countries.</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39"/>
        <w:gridCol w:w="4840"/>
      </w:tblGrid>
      <w:tr w:rsidR="000D671F" w:rsidRPr="005561B9" w14:paraId="146F09C6" w14:textId="77777777" w:rsidTr="007410EB">
        <w:tc>
          <w:tcPr>
            <w:tcW w:w="4839" w:type="dxa"/>
            <w:shd w:val="clear" w:color="auto" w:fill="D9D9D9" w:themeFill="background1" w:themeFillShade="D9"/>
          </w:tcPr>
          <w:p w14:paraId="0536A149" w14:textId="09A500D3" w:rsidR="002E3223" w:rsidRPr="001809CB" w:rsidRDefault="002E3223" w:rsidP="007410EB">
            <w:pPr>
              <w:rPr>
                <w:rFonts w:ascii="Verdana" w:eastAsia="Times New Roman" w:hAnsi="Verdana" w:cs="Times New Roman"/>
                <w:b/>
                <w:lang w:val="en-US"/>
              </w:rPr>
            </w:pPr>
            <w:r>
              <w:rPr>
                <w:rFonts w:ascii="Verdana" w:eastAsia="Times New Roman" w:hAnsi="Verdana" w:cs="Times New Roman"/>
                <w:b/>
                <w:bCs/>
                <w:lang w:val="en-GB"/>
              </w:rPr>
              <w:t>Warehouse space in Eurasia, m</w:t>
            </w:r>
            <w:r w:rsidR="000D671F" w:rsidRPr="001809CB">
              <w:rPr>
                <w:rFonts w:ascii="Verdana" w:eastAsia="Times New Roman" w:hAnsi="Verdana" w:cs="Times New Roman"/>
                <w:b/>
                <w:bCs/>
                <w:vertAlign w:val="superscript"/>
                <w:lang w:val="en-GB"/>
              </w:rPr>
              <w:t>2</w:t>
            </w:r>
            <w:r>
              <w:rPr>
                <w:rFonts w:ascii="Verdana" w:eastAsia="Times New Roman" w:hAnsi="Verdana" w:cs="Times New Roman"/>
                <w:b/>
                <w:bCs/>
                <w:lang w:val="en-GB"/>
              </w:rPr>
              <w:t xml:space="preserve"> per person</w:t>
            </w:r>
          </w:p>
          <w:p w14:paraId="1BD6262B" w14:textId="1A1D44A5" w:rsidR="002E3223" w:rsidRPr="001809CB" w:rsidRDefault="002E3223" w:rsidP="007410EB">
            <w:pPr>
              <w:jc w:val="both"/>
              <w:rPr>
                <w:rFonts w:ascii="Verdana" w:eastAsia="Times New Roman" w:hAnsi="Verdana" w:cs="Times New Roman"/>
                <w:lang w:val="en-US"/>
              </w:rPr>
            </w:pPr>
          </w:p>
          <w:p w14:paraId="2FAEC1DF" w14:textId="53C76055" w:rsidR="000D671F" w:rsidRPr="000D671F" w:rsidRDefault="000D671F" w:rsidP="000D671F">
            <w:pPr>
              <w:spacing w:before="100" w:beforeAutospacing="1" w:after="100" w:afterAutospacing="1"/>
              <w:rPr>
                <w:rFonts w:ascii="Times New Roman" w:eastAsia="Times New Roman" w:hAnsi="Times New Roman" w:cs="Times New Roman"/>
                <w:sz w:val="24"/>
                <w:szCs w:val="24"/>
                <w:lang w:val="en-US"/>
              </w:rPr>
            </w:pPr>
            <w:r w:rsidRPr="000D671F">
              <w:rPr>
                <w:rFonts w:ascii="Times New Roman" w:eastAsia="Times New Roman" w:hAnsi="Times New Roman" w:cs="Times New Roman"/>
                <w:noProof/>
                <w:sz w:val="24"/>
                <w:szCs w:val="24"/>
                <w:lang w:eastAsia="ru-RU"/>
              </w:rPr>
              <w:drawing>
                <wp:inline distT="0" distB="0" distL="0" distR="0" wp14:anchorId="560C448D" wp14:editId="36B9294C">
                  <wp:extent cx="2808321" cy="2794958"/>
                  <wp:effectExtent l="0" t="0" r="0" b="5715"/>
                  <wp:docPr id="2" name="Рисунок 2" descr="N:\Дирекция по аналитической работе\Проекты\2025 Склады и логистика\Инфографика\ENG\EDB_WI_Graph_EN_2025-10-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Дирекция по аналитической работе\Проекты\2025 Склады и логистика\Инфографика\ENG\EDB_WI_Graph_EN_2025-10-21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3990" cy="2830457"/>
                          </a:xfrm>
                          <a:prstGeom prst="rect">
                            <a:avLst/>
                          </a:prstGeom>
                          <a:noFill/>
                          <a:ln>
                            <a:noFill/>
                          </a:ln>
                        </pic:spPr>
                      </pic:pic>
                    </a:graphicData>
                  </a:graphic>
                </wp:inline>
              </w:drawing>
            </w:r>
          </w:p>
          <w:p w14:paraId="0182FF64" w14:textId="77777777" w:rsidR="002E3223" w:rsidRPr="001809CB" w:rsidRDefault="002E3223" w:rsidP="007410EB">
            <w:pPr>
              <w:jc w:val="both"/>
              <w:rPr>
                <w:rFonts w:ascii="Verdana" w:eastAsia="Times New Roman" w:hAnsi="Verdana" w:cs="Times New Roman"/>
                <w:lang w:val="en-US"/>
              </w:rPr>
            </w:pPr>
            <w:r>
              <w:rPr>
                <w:rFonts w:ascii="Verdana" w:eastAsia="Times New Roman" w:hAnsi="Verdana" w:cs="Times New Roman"/>
                <w:b/>
                <w:bCs/>
                <w:sz w:val="20"/>
                <w:lang w:val="en-GB"/>
              </w:rPr>
              <w:t>Source</w:t>
            </w:r>
            <w:r>
              <w:rPr>
                <w:rFonts w:ascii="Verdana" w:eastAsia="Times New Roman" w:hAnsi="Verdana" w:cs="Times New Roman"/>
                <w:sz w:val="20"/>
                <w:lang w:val="en-GB"/>
              </w:rPr>
              <w:t>: EDB and CMWP calculations.</w:t>
            </w:r>
          </w:p>
        </w:tc>
        <w:tc>
          <w:tcPr>
            <w:tcW w:w="4840" w:type="dxa"/>
            <w:shd w:val="clear" w:color="auto" w:fill="D9D9D9" w:themeFill="background1" w:themeFillShade="D9"/>
          </w:tcPr>
          <w:p w14:paraId="198C428C" w14:textId="4EC76AC6" w:rsidR="002E3223" w:rsidRPr="001809CB" w:rsidRDefault="002E3223" w:rsidP="007410EB">
            <w:pPr>
              <w:rPr>
                <w:rFonts w:ascii="Verdana" w:eastAsia="Times New Roman" w:hAnsi="Verdana" w:cs="Times New Roman"/>
                <w:b/>
                <w:lang w:val="en-US"/>
              </w:rPr>
            </w:pPr>
            <w:r>
              <w:rPr>
                <w:rFonts w:ascii="Verdana" w:eastAsia="Times New Roman" w:hAnsi="Verdana" w:cs="Times New Roman"/>
                <w:b/>
                <w:bCs/>
                <w:lang w:val="en-GB"/>
              </w:rPr>
              <w:t xml:space="preserve">Forecast demand for warehousing infrastructure in Eurasia, </w:t>
            </w:r>
            <w:r w:rsidR="000D671F">
              <w:rPr>
                <w:rFonts w:ascii="Verdana" w:eastAsia="Times New Roman" w:hAnsi="Verdana" w:cs="Times New Roman"/>
                <w:b/>
                <w:bCs/>
                <w:lang w:val="en-GB"/>
              </w:rPr>
              <w:t xml:space="preserve">thousand </w:t>
            </w:r>
            <w:r>
              <w:rPr>
                <w:rFonts w:ascii="Verdana" w:eastAsia="Times New Roman" w:hAnsi="Verdana" w:cs="Times New Roman"/>
                <w:b/>
                <w:bCs/>
                <w:lang w:val="en-GB"/>
              </w:rPr>
              <w:t>m</w:t>
            </w:r>
            <w:r w:rsidR="000D671F" w:rsidRPr="001809CB">
              <w:rPr>
                <w:rFonts w:ascii="Verdana" w:eastAsia="Times New Roman" w:hAnsi="Verdana" w:cs="Times New Roman"/>
                <w:b/>
                <w:bCs/>
                <w:vertAlign w:val="superscript"/>
                <w:lang w:val="en-GB"/>
              </w:rPr>
              <w:t>2</w:t>
            </w:r>
          </w:p>
          <w:p w14:paraId="34E1B693" w14:textId="5357FDCD" w:rsidR="002E3223" w:rsidRPr="001809CB" w:rsidRDefault="002E3223" w:rsidP="007410EB">
            <w:pPr>
              <w:jc w:val="both"/>
              <w:rPr>
                <w:rFonts w:ascii="Verdana" w:eastAsia="Times New Roman" w:hAnsi="Verdana" w:cs="Times New Roman"/>
                <w:lang w:val="en-US"/>
              </w:rPr>
            </w:pPr>
          </w:p>
          <w:p w14:paraId="08D8EDDB" w14:textId="652847CD" w:rsidR="000D671F" w:rsidRPr="000D671F" w:rsidRDefault="000D671F" w:rsidP="000D671F">
            <w:pPr>
              <w:spacing w:before="100" w:beforeAutospacing="1" w:after="100" w:afterAutospacing="1"/>
              <w:rPr>
                <w:rFonts w:ascii="Times New Roman" w:eastAsia="Times New Roman" w:hAnsi="Times New Roman" w:cs="Times New Roman"/>
                <w:sz w:val="24"/>
                <w:szCs w:val="24"/>
                <w:lang w:val="en-US"/>
              </w:rPr>
            </w:pPr>
            <w:r w:rsidRPr="000D671F">
              <w:rPr>
                <w:rFonts w:ascii="Times New Roman" w:eastAsia="Times New Roman" w:hAnsi="Times New Roman" w:cs="Times New Roman"/>
                <w:noProof/>
                <w:sz w:val="24"/>
                <w:szCs w:val="24"/>
                <w:lang w:eastAsia="ru-RU"/>
              </w:rPr>
              <w:drawing>
                <wp:inline distT="0" distB="0" distL="0" distR="0" wp14:anchorId="18FEFA67" wp14:editId="61121F26">
                  <wp:extent cx="2697953" cy="2846717"/>
                  <wp:effectExtent l="0" t="0" r="7620" b="0"/>
                  <wp:docPr id="4" name="Рисунок 4" descr="N:\Дирекция по аналитической работе\Проекты\2025 Склады и логистика\Инфографика\ENG\EDB_WI_Graph_EN_2025-10-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Дирекция по аналитической работе\Проекты\2025 Склады и логистика\Инфографика\ENG\EDB_WI_Graph_EN_2025-10-21_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163" cy="2885978"/>
                          </a:xfrm>
                          <a:prstGeom prst="rect">
                            <a:avLst/>
                          </a:prstGeom>
                          <a:noFill/>
                          <a:ln>
                            <a:noFill/>
                          </a:ln>
                        </pic:spPr>
                      </pic:pic>
                    </a:graphicData>
                  </a:graphic>
                </wp:inline>
              </w:drawing>
            </w:r>
          </w:p>
          <w:p w14:paraId="5225EFD8" w14:textId="6EF018BF" w:rsidR="002E3223" w:rsidRPr="001809CB" w:rsidRDefault="002E3223" w:rsidP="007410EB">
            <w:pPr>
              <w:jc w:val="both"/>
              <w:rPr>
                <w:rFonts w:ascii="Verdana" w:eastAsia="Times New Roman" w:hAnsi="Verdana" w:cs="Times New Roman"/>
                <w:lang w:val="en-US"/>
              </w:rPr>
            </w:pPr>
            <w:r>
              <w:rPr>
                <w:rFonts w:ascii="Verdana" w:eastAsia="Times New Roman" w:hAnsi="Verdana" w:cs="Times New Roman"/>
                <w:b/>
                <w:bCs/>
                <w:sz w:val="20"/>
                <w:lang w:val="en-GB"/>
              </w:rPr>
              <w:lastRenderedPageBreak/>
              <w:t>Source</w:t>
            </w:r>
            <w:r>
              <w:rPr>
                <w:rFonts w:ascii="Verdana" w:eastAsia="Times New Roman" w:hAnsi="Verdana" w:cs="Times New Roman"/>
                <w:sz w:val="20"/>
                <w:lang w:val="en-GB"/>
              </w:rPr>
              <w:t>: EDB and CMWP calculations.</w:t>
            </w:r>
          </w:p>
        </w:tc>
      </w:tr>
    </w:tbl>
    <w:p w14:paraId="02D6BA10" w14:textId="77777777" w:rsidR="002E3223" w:rsidRPr="001809CB" w:rsidRDefault="002E3223" w:rsidP="002E3223">
      <w:pPr>
        <w:spacing w:before="120" w:after="120" w:line="240" w:lineRule="auto"/>
        <w:jc w:val="both"/>
        <w:rPr>
          <w:rFonts w:ascii="Verdana" w:eastAsia="Times New Roman" w:hAnsi="Verdana" w:cs="Times New Roman"/>
          <w:b/>
          <w:lang w:val="en-US"/>
        </w:rPr>
      </w:pPr>
    </w:p>
    <w:p w14:paraId="02ACB615" w14:textId="77777777" w:rsidR="002E3223" w:rsidRPr="001809CB" w:rsidRDefault="002E3223" w:rsidP="002E3223">
      <w:pPr>
        <w:spacing w:before="120" w:after="120" w:line="240" w:lineRule="auto"/>
        <w:jc w:val="both"/>
        <w:rPr>
          <w:rFonts w:ascii="Verdana" w:eastAsia="Times New Roman" w:hAnsi="Verdana" w:cs="Times New Roman"/>
          <w:b/>
          <w:lang w:val="en-US"/>
        </w:rPr>
      </w:pPr>
      <w:r>
        <w:rPr>
          <w:rFonts w:ascii="Verdana" w:eastAsia="Times New Roman" w:hAnsi="Verdana" w:cs="Times New Roman"/>
          <w:b/>
          <w:bCs/>
          <w:lang w:val="en-GB"/>
        </w:rPr>
        <w:t>New geography of trade and catching-up growth</w:t>
      </w:r>
    </w:p>
    <w:p w14:paraId="36D1F4EF" w14:textId="4EFF79A4"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The rapid transformation is being driven by emerging trends in trade and technology, reinforced by catching-up growth. Since 2022, the geography of global trade has shifted, and Eurasia</w:t>
      </w:r>
      <w:r w:rsidR="006904F5" w:rsidRPr="006904F5">
        <w:rPr>
          <w:rFonts w:ascii="Verdana" w:eastAsia="Times New Roman" w:hAnsi="Verdana" w:cs="Times New Roman"/>
          <w:lang w:val="en-US"/>
        </w:rPr>
        <w:t xml:space="preserve"> </w:t>
      </w:r>
      <w:r>
        <w:rPr>
          <w:rFonts w:ascii="Verdana" w:eastAsia="Times New Roman" w:hAnsi="Verdana" w:cs="Times New Roman"/>
          <w:lang w:val="en-GB"/>
        </w:rPr>
        <w:t>has become one of the main beneficiaries of these changes.</w:t>
      </w:r>
    </w:p>
    <w:p w14:paraId="2FAE533B"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The EDB forecasts that the region’s foreign trade will increase:</w:t>
      </w:r>
    </w:p>
    <w:p w14:paraId="4DBBCB89" w14:textId="77777777" w:rsidR="002E3223" w:rsidRPr="008F119F" w:rsidRDefault="002E3223" w:rsidP="002E3223">
      <w:pPr>
        <w:pStyle w:val="a9"/>
        <w:numPr>
          <w:ilvl w:val="0"/>
          <w:numId w:val="8"/>
        </w:numPr>
        <w:spacing w:before="120" w:after="120" w:line="240" w:lineRule="auto"/>
        <w:jc w:val="both"/>
        <w:rPr>
          <w:rFonts w:ascii="Verdana" w:eastAsia="Times New Roman" w:hAnsi="Verdana" w:cs="Times New Roman"/>
        </w:rPr>
      </w:pPr>
      <w:r>
        <w:rPr>
          <w:rFonts w:ascii="Verdana" w:eastAsia="Times New Roman" w:hAnsi="Verdana" w:cs="Times New Roman"/>
          <w:lang w:val="en-GB"/>
        </w:rPr>
        <w:t xml:space="preserve">from </w:t>
      </w:r>
      <w:r>
        <w:rPr>
          <w:rFonts w:ascii="Verdana" w:eastAsia="Times New Roman" w:hAnsi="Verdana" w:cs="Times New Roman"/>
          <w:b/>
          <w:bCs/>
          <w:lang w:val="en-GB"/>
        </w:rPr>
        <w:t>1,278 million tonnes</w:t>
      </w:r>
      <w:r>
        <w:rPr>
          <w:rFonts w:ascii="Verdana" w:eastAsia="Times New Roman" w:hAnsi="Verdana" w:cs="Times New Roman"/>
          <w:lang w:val="en-GB"/>
        </w:rPr>
        <w:t xml:space="preserve"> in 2023</w:t>
      </w:r>
    </w:p>
    <w:p w14:paraId="387C1D16" w14:textId="77777777" w:rsidR="002E3223" w:rsidRPr="008F119F" w:rsidRDefault="002E3223" w:rsidP="002E3223">
      <w:pPr>
        <w:pStyle w:val="a9"/>
        <w:numPr>
          <w:ilvl w:val="0"/>
          <w:numId w:val="8"/>
        </w:numPr>
        <w:spacing w:before="120" w:after="120" w:line="240" w:lineRule="auto"/>
        <w:jc w:val="both"/>
        <w:rPr>
          <w:rFonts w:ascii="Verdana" w:eastAsia="Times New Roman" w:hAnsi="Verdana" w:cs="Times New Roman"/>
        </w:rPr>
      </w:pPr>
      <w:r>
        <w:rPr>
          <w:rFonts w:ascii="Verdana" w:eastAsia="Times New Roman" w:hAnsi="Verdana" w:cs="Times New Roman"/>
          <w:lang w:val="en-GB"/>
        </w:rPr>
        <w:t xml:space="preserve">to </w:t>
      </w:r>
      <w:r>
        <w:rPr>
          <w:rFonts w:ascii="Verdana" w:eastAsia="Times New Roman" w:hAnsi="Verdana" w:cs="Times New Roman"/>
          <w:b/>
          <w:bCs/>
          <w:lang w:val="en-GB"/>
        </w:rPr>
        <w:t>1,420–1,809 million</w:t>
      </w:r>
      <w:r>
        <w:rPr>
          <w:rFonts w:ascii="Verdana" w:eastAsia="Times New Roman" w:hAnsi="Verdana" w:cs="Times New Roman"/>
          <w:lang w:val="en-GB"/>
        </w:rPr>
        <w:t xml:space="preserve"> tonnes by 2040.</w:t>
      </w:r>
    </w:p>
    <w:p w14:paraId="0C74B86D" w14:textId="77777777" w:rsidR="002E3223" w:rsidRPr="008216E0" w:rsidRDefault="002E3223" w:rsidP="002E3223">
      <w:pPr>
        <w:spacing w:after="120" w:line="240" w:lineRule="auto"/>
        <w:ind w:right="475"/>
        <w:jc w:val="both"/>
        <w:rPr>
          <w:rFonts w:ascii="Verdana" w:eastAsia="Times New Roman" w:hAnsi="Verdana" w:cs="Times New Roman"/>
        </w:rPr>
      </w:pPr>
      <w:r>
        <w:rPr>
          <w:rFonts w:ascii="Verdana" w:eastAsia="Times New Roman" w:hAnsi="Verdana" w:cs="Times New Roman"/>
          <w:lang w:val="en-GB"/>
        </w:rPr>
        <w:t>In addition, the composition of cargo flows is changing in favour of non-commodity goods. This requires the active development of:</w:t>
      </w:r>
    </w:p>
    <w:p w14:paraId="74D3E27E" w14:textId="77777777" w:rsidR="002E3223" w:rsidRPr="0016664F" w:rsidRDefault="002E3223" w:rsidP="002E3223">
      <w:pPr>
        <w:pStyle w:val="a9"/>
        <w:numPr>
          <w:ilvl w:val="0"/>
          <w:numId w:val="7"/>
        </w:numPr>
        <w:spacing w:after="120" w:line="240" w:lineRule="auto"/>
        <w:ind w:right="475"/>
        <w:jc w:val="both"/>
        <w:rPr>
          <w:rFonts w:ascii="Verdana" w:eastAsia="Times New Roman" w:hAnsi="Verdana" w:cs="Times New Roman"/>
        </w:rPr>
      </w:pPr>
      <w:r>
        <w:rPr>
          <w:rFonts w:ascii="Verdana" w:eastAsia="Times New Roman" w:hAnsi="Verdana" w:cs="Times New Roman"/>
          <w:lang w:val="en-GB"/>
        </w:rPr>
        <w:t>multimodal hubs</w:t>
      </w:r>
    </w:p>
    <w:p w14:paraId="7FA5051D" w14:textId="77777777" w:rsidR="002E3223" w:rsidRPr="0016664F" w:rsidRDefault="002E3223" w:rsidP="002E3223">
      <w:pPr>
        <w:pStyle w:val="a9"/>
        <w:numPr>
          <w:ilvl w:val="0"/>
          <w:numId w:val="7"/>
        </w:numPr>
        <w:spacing w:after="120" w:line="240" w:lineRule="auto"/>
        <w:ind w:right="475"/>
        <w:jc w:val="both"/>
        <w:rPr>
          <w:rFonts w:ascii="Verdana" w:eastAsia="Times New Roman" w:hAnsi="Verdana" w:cs="Times New Roman"/>
        </w:rPr>
      </w:pPr>
      <w:r>
        <w:rPr>
          <w:rFonts w:ascii="Verdana" w:eastAsia="Times New Roman" w:hAnsi="Verdana" w:cs="Times New Roman"/>
          <w:lang w:val="en-GB"/>
        </w:rPr>
        <w:t>dry ports</w:t>
      </w:r>
    </w:p>
    <w:p w14:paraId="78C227C9" w14:textId="340A1357" w:rsidR="002E3223" w:rsidRPr="0016664F" w:rsidRDefault="002E3223" w:rsidP="002E3223">
      <w:pPr>
        <w:pStyle w:val="a9"/>
        <w:numPr>
          <w:ilvl w:val="0"/>
          <w:numId w:val="7"/>
        </w:numPr>
        <w:spacing w:after="120" w:line="240" w:lineRule="auto"/>
        <w:ind w:right="475"/>
        <w:jc w:val="both"/>
        <w:rPr>
          <w:rFonts w:ascii="Verdana" w:eastAsia="Times New Roman" w:hAnsi="Verdana" w:cs="Times New Roman"/>
        </w:rPr>
      </w:pPr>
      <w:r>
        <w:rPr>
          <w:rFonts w:ascii="Verdana" w:eastAsia="Times New Roman" w:hAnsi="Verdana" w:cs="Times New Roman"/>
          <w:lang w:val="en-GB"/>
        </w:rPr>
        <w:t xml:space="preserve">border </w:t>
      </w:r>
      <w:r w:rsidR="00CF793E">
        <w:rPr>
          <w:rFonts w:ascii="Verdana" w:eastAsia="Times New Roman" w:hAnsi="Verdana" w:cs="Times New Roman"/>
          <w:lang w:val="en-GB"/>
        </w:rPr>
        <w:t>logistic hubs</w:t>
      </w:r>
    </w:p>
    <w:p w14:paraId="4B7D4CC5" w14:textId="0194C547" w:rsidR="002E3223" w:rsidRPr="001809CB" w:rsidRDefault="00CF793E" w:rsidP="002E3223">
      <w:pPr>
        <w:pStyle w:val="a9"/>
        <w:numPr>
          <w:ilvl w:val="0"/>
          <w:numId w:val="7"/>
        </w:numPr>
        <w:spacing w:after="120" w:line="240" w:lineRule="auto"/>
        <w:ind w:right="475"/>
        <w:jc w:val="both"/>
        <w:rPr>
          <w:rFonts w:ascii="Verdana" w:eastAsia="Times New Roman" w:hAnsi="Verdana" w:cs="Times New Roman"/>
          <w:lang w:val="en-US"/>
        </w:rPr>
      </w:pPr>
      <w:r>
        <w:rPr>
          <w:rFonts w:ascii="Verdana" w:eastAsia="Times New Roman" w:hAnsi="Verdana" w:cs="Times New Roman"/>
          <w:lang w:val="en-GB"/>
        </w:rPr>
        <w:t xml:space="preserve">large </w:t>
      </w:r>
      <w:r w:rsidR="002E3223">
        <w:rPr>
          <w:rFonts w:ascii="Verdana" w:eastAsia="Times New Roman" w:hAnsi="Verdana" w:cs="Times New Roman"/>
          <w:lang w:val="en-GB"/>
        </w:rPr>
        <w:t xml:space="preserve">distribution </w:t>
      </w:r>
      <w:r>
        <w:rPr>
          <w:rFonts w:ascii="Verdana" w:eastAsia="Times New Roman" w:hAnsi="Verdana" w:cs="Times New Roman"/>
          <w:lang w:val="en-GB"/>
        </w:rPr>
        <w:t>warehouses</w:t>
      </w:r>
      <w:r w:rsidR="002E3223">
        <w:rPr>
          <w:rFonts w:ascii="Verdana" w:eastAsia="Times New Roman" w:hAnsi="Verdana" w:cs="Times New Roman"/>
          <w:lang w:val="en-GB"/>
        </w:rPr>
        <w:t xml:space="preserve"> along international transport corridors</w:t>
      </w:r>
    </w:p>
    <w:p w14:paraId="20F6FA0F" w14:textId="77777777" w:rsidR="002E3223" w:rsidRPr="001809CB" w:rsidRDefault="002E3223" w:rsidP="002E3223">
      <w:pPr>
        <w:spacing w:after="120" w:line="240" w:lineRule="auto"/>
        <w:ind w:right="475"/>
        <w:jc w:val="both"/>
        <w:rPr>
          <w:rFonts w:ascii="Verdana" w:eastAsia="Calibri" w:hAnsi="Verdana" w:cs="BrownLLCyr-Medium"/>
          <w:b/>
          <w:lang w:val="en-US"/>
        </w:rPr>
      </w:pPr>
      <w:proofErr w:type="spellStart"/>
      <w:r>
        <w:rPr>
          <w:rFonts w:ascii="Verdana" w:eastAsia="Calibri" w:hAnsi="Verdana" w:cs="BrownLLCyr-Medium"/>
          <w:b/>
          <w:bCs/>
          <w:lang w:val="en-GB"/>
        </w:rPr>
        <w:t>Evgeny</w:t>
      </w:r>
      <w:proofErr w:type="spellEnd"/>
      <w:r>
        <w:rPr>
          <w:rFonts w:ascii="Verdana" w:eastAsia="Calibri" w:hAnsi="Verdana" w:cs="BrownLLCyr-Medium"/>
          <w:b/>
          <w:bCs/>
          <w:lang w:val="en-GB"/>
        </w:rPr>
        <w:t xml:space="preserve"> </w:t>
      </w:r>
      <w:proofErr w:type="spellStart"/>
      <w:r>
        <w:rPr>
          <w:rFonts w:ascii="Verdana" w:eastAsia="Calibri" w:hAnsi="Verdana" w:cs="BrownLLCyr-Medium"/>
          <w:b/>
          <w:bCs/>
          <w:lang w:val="en-GB"/>
        </w:rPr>
        <w:t>Vinokurov</w:t>
      </w:r>
      <w:proofErr w:type="spellEnd"/>
      <w:r>
        <w:rPr>
          <w:rFonts w:ascii="Verdana" w:eastAsia="Calibri" w:hAnsi="Verdana" w:cs="BrownLLCyr-Medium"/>
          <w:b/>
          <w:bCs/>
          <w:lang w:val="en-GB"/>
        </w:rPr>
        <w:t>, Chief Economist at the EDB:</w:t>
      </w:r>
    </w:p>
    <w:p w14:paraId="3DE3D8C8" w14:textId="7B7A5F5F" w:rsidR="002E3223" w:rsidRPr="001809CB" w:rsidRDefault="002E3223" w:rsidP="002E3223">
      <w:pPr>
        <w:spacing w:after="120" w:line="240" w:lineRule="auto"/>
        <w:ind w:right="475"/>
        <w:jc w:val="both"/>
        <w:rPr>
          <w:rFonts w:ascii="Verdana" w:eastAsia="Calibri" w:hAnsi="Verdana" w:cs="BrownLLCyr-Medium"/>
          <w:i/>
          <w:lang w:val="en-US"/>
        </w:rPr>
      </w:pPr>
      <w:r>
        <w:rPr>
          <w:rFonts w:ascii="Verdana" w:eastAsia="Calibri" w:hAnsi="Verdana" w:cs="BrownLLCyr-Medium"/>
          <w:i/>
          <w:iCs/>
          <w:lang w:val="en-GB"/>
        </w:rPr>
        <w:t xml:space="preserve">“Logistics and warehousing operations account for up to a quarter of the value added in global value chains. Unlocking the potential of warehousing infrastructure is not about square metres but about high economic competitiveness. Modern warehouses reduce logistics and transaction costs, accelerate </w:t>
      </w:r>
      <w:r w:rsidR="00CF793E">
        <w:rPr>
          <w:rFonts w:ascii="Verdana" w:eastAsia="Calibri" w:hAnsi="Verdana" w:cs="BrownLLCyr-Medium"/>
          <w:i/>
          <w:iCs/>
          <w:lang w:val="en-GB"/>
        </w:rPr>
        <w:t xml:space="preserve">trade </w:t>
      </w:r>
      <w:r>
        <w:rPr>
          <w:rFonts w:ascii="Verdana" w:eastAsia="Calibri" w:hAnsi="Verdana" w:cs="BrownLLCyr-Medium"/>
          <w:i/>
          <w:iCs/>
          <w:lang w:val="en-GB"/>
        </w:rPr>
        <w:t>turnover, integrate companies into regional value chains and create new centres of gravity for production. Modern warehousing is a high-tech business with potential for AI and robotisation. In the context of accelerated industrialisation and structural shifts in consumption – from the rapid development of e-commerce to growing demand for cold and specialised storage – the sector will become one of the growth drivers.”</w:t>
      </w:r>
    </w:p>
    <w:p w14:paraId="6900477F" w14:textId="77777777" w:rsidR="002E3223" w:rsidRPr="001809CB" w:rsidRDefault="002E3223" w:rsidP="002E3223">
      <w:pPr>
        <w:spacing w:before="120" w:after="120" w:line="240" w:lineRule="auto"/>
        <w:jc w:val="both"/>
        <w:rPr>
          <w:rFonts w:ascii="Verdana" w:eastAsia="Times New Roman" w:hAnsi="Verdana" w:cs="Times New Roman"/>
          <w:b/>
          <w:lang w:val="en-US"/>
        </w:rPr>
      </w:pPr>
      <w:r>
        <w:rPr>
          <w:rFonts w:ascii="Verdana" w:eastAsia="Times New Roman" w:hAnsi="Verdana" w:cs="Times New Roman"/>
          <w:b/>
          <w:bCs/>
          <w:lang w:val="en-GB"/>
        </w:rPr>
        <w:t>E-commerce as a long-term driver</w:t>
      </w:r>
    </w:p>
    <w:p w14:paraId="4AC3C0FB" w14:textId="77777777" w:rsidR="002E3223" w:rsidRPr="001809CB" w:rsidRDefault="002E3223" w:rsidP="002E3223">
      <w:pPr>
        <w:spacing w:before="120" w:after="120" w:line="240" w:lineRule="auto"/>
        <w:jc w:val="both"/>
        <w:rPr>
          <w:rFonts w:ascii="Verdana" w:eastAsia="Times New Roman" w:hAnsi="Verdana" w:cs="Times New Roman"/>
          <w:lang w:val="en-US"/>
        </w:rPr>
      </w:pPr>
      <w:r w:rsidRPr="0076715D">
        <w:rPr>
          <w:rFonts w:ascii="Verdana" w:eastAsia="Times New Roman" w:hAnsi="Verdana" w:cs="Times New Roman"/>
          <w:lang w:val="en-GB"/>
        </w:rPr>
        <w:t xml:space="preserve">By 2040, the share of online commerce in retail turnover could reach 20–25% across the region </w:t>
      </w:r>
      <w:r w:rsidRPr="00BE3FA6">
        <w:rPr>
          <w:rFonts w:ascii="Verdana" w:eastAsia="Times New Roman" w:hAnsi="Verdana" w:cs="Times New Roman"/>
          <w:sz w:val="20"/>
          <w:szCs w:val="20"/>
          <w:lang w:val="en-GB"/>
        </w:rPr>
        <w:t>(</w:t>
      </w:r>
      <w:r w:rsidRPr="00BE3FA6">
        <w:rPr>
          <w:rFonts w:ascii="Verdana" w:eastAsia="Times New Roman" w:hAnsi="Verdana" w:cs="Times New Roman"/>
          <w:i/>
          <w:iCs/>
          <w:sz w:val="20"/>
          <w:szCs w:val="20"/>
          <w:lang w:val="en-GB"/>
        </w:rPr>
        <w:t>compared with 20% in Russia and 3% in Uzbekistan in 2024</w:t>
      </w:r>
      <w:r w:rsidRPr="00BE3FA6">
        <w:rPr>
          <w:rFonts w:ascii="Verdana" w:eastAsia="Times New Roman" w:hAnsi="Verdana" w:cs="Times New Roman"/>
          <w:sz w:val="20"/>
          <w:szCs w:val="20"/>
          <w:lang w:val="en-GB"/>
        </w:rPr>
        <w:t>)</w:t>
      </w:r>
      <w:r w:rsidRPr="0076715D">
        <w:rPr>
          <w:rFonts w:ascii="Verdana" w:eastAsia="Times New Roman" w:hAnsi="Verdana" w:cs="Times New Roman"/>
          <w:lang w:val="en-GB"/>
        </w:rPr>
        <w:t>.</w:t>
      </w:r>
    </w:p>
    <w:p w14:paraId="52CF41F6"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This is driving the growth of investment in:</w:t>
      </w:r>
    </w:p>
    <w:p w14:paraId="74225FF8" w14:textId="77777777" w:rsidR="002E3223" w:rsidRPr="00B830C4" w:rsidRDefault="002E3223" w:rsidP="002E3223">
      <w:pPr>
        <w:pStyle w:val="a9"/>
        <w:numPr>
          <w:ilvl w:val="0"/>
          <w:numId w:val="2"/>
        </w:numPr>
        <w:spacing w:before="120" w:after="120" w:line="240" w:lineRule="auto"/>
        <w:jc w:val="both"/>
        <w:rPr>
          <w:rFonts w:ascii="Verdana" w:eastAsia="Times New Roman" w:hAnsi="Verdana" w:cs="Times New Roman"/>
          <w:b/>
        </w:rPr>
      </w:pPr>
      <w:r>
        <w:rPr>
          <w:rFonts w:ascii="Verdana" w:eastAsia="Times New Roman" w:hAnsi="Verdana" w:cs="Times New Roman"/>
          <w:b/>
          <w:bCs/>
          <w:lang w:val="en-GB"/>
        </w:rPr>
        <w:t>fulfilment centres</w:t>
      </w:r>
    </w:p>
    <w:p w14:paraId="65C8929F" w14:textId="77777777" w:rsidR="002E3223" w:rsidRPr="00B830C4" w:rsidRDefault="002E3223" w:rsidP="002E3223">
      <w:pPr>
        <w:pStyle w:val="a9"/>
        <w:numPr>
          <w:ilvl w:val="0"/>
          <w:numId w:val="2"/>
        </w:numPr>
        <w:spacing w:before="120" w:after="120" w:line="240" w:lineRule="auto"/>
        <w:jc w:val="both"/>
        <w:rPr>
          <w:rFonts w:ascii="Verdana" w:eastAsia="Times New Roman" w:hAnsi="Verdana" w:cs="Times New Roman"/>
          <w:b/>
        </w:rPr>
      </w:pPr>
      <w:r>
        <w:rPr>
          <w:rFonts w:ascii="Verdana" w:eastAsia="Times New Roman" w:hAnsi="Verdana" w:cs="Times New Roman"/>
          <w:b/>
          <w:bCs/>
          <w:lang w:val="en-GB"/>
        </w:rPr>
        <w:t>last-mile urban warehouses</w:t>
      </w:r>
    </w:p>
    <w:p w14:paraId="5AADBC65" w14:textId="77777777" w:rsidR="002E3223" w:rsidRPr="00B830C4" w:rsidRDefault="002E3223" w:rsidP="002E3223">
      <w:pPr>
        <w:pStyle w:val="a9"/>
        <w:numPr>
          <w:ilvl w:val="0"/>
          <w:numId w:val="2"/>
        </w:numPr>
        <w:spacing w:before="120" w:after="120" w:line="240" w:lineRule="auto"/>
        <w:jc w:val="both"/>
        <w:rPr>
          <w:rFonts w:ascii="Verdana" w:eastAsia="Times New Roman" w:hAnsi="Verdana" w:cs="Times New Roman"/>
          <w:b/>
        </w:rPr>
      </w:pPr>
      <w:r>
        <w:rPr>
          <w:rFonts w:ascii="Verdana" w:eastAsia="Times New Roman" w:hAnsi="Verdana" w:cs="Times New Roman"/>
          <w:b/>
          <w:bCs/>
          <w:lang w:val="en-GB"/>
        </w:rPr>
        <w:t>logistics automation</w:t>
      </w:r>
    </w:p>
    <w:p w14:paraId="56215857"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Large retailers are increasingly outsourcing logistics, and demand for 3PL providers is rising rapidly, particularly in the e-commerce and FMCG segments. Against this backdrop, a new generation of logistics companies is emerging, developing multifunctional complexes designed to serve several clients simultaneously. In these conditions, requirements for service quality and the technological sophistication of warehouses are increasing.</w:t>
      </w:r>
    </w:p>
    <w:p w14:paraId="5846DFCA"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Other drivers include the digitalisation of logistics, accelerating industrialisation and the development potential of the agro-industrial sector. As a result, the structure of demand is gradually shifting towards specialised warehouses – refrigerated, pharmaceutical and next-generation logistics hubs that meet automation and energy efficiency standards.</w:t>
      </w:r>
    </w:p>
    <w:p w14:paraId="32042E96" w14:textId="77777777" w:rsidR="002E3223" w:rsidRPr="005561B9" w:rsidRDefault="002E3223" w:rsidP="002E3223">
      <w:pPr>
        <w:spacing w:after="0" w:line="240" w:lineRule="auto"/>
        <w:jc w:val="both"/>
        <w:rPr>
          <w:rFonts w:ascii="Verdana" w:eastAsia="Times New Roman" w:hAnsi="Verdana" w:cs="Times New Roman"/>
          <w:b/>
          <w:lang w:val="en-US"/>
        </w:rPr>
      </w:pPr>
      <w:r>
        <w:rPr>
          <w:rFonts w:ascii="Verdana" w:eastAsia="Times New Roman" w:hAnsi="Verdana" w:cs="Times New Roman"/>
          <w:b/>
          <w:bCs/>
          <w:lang w:val="en-GB"/>
        </w:rPr>
        <w:t>Forecast to 2040: doubling of demand</w:t>
      </w:r>
    </w:p>
    <w:p w14:paraId="657C010A" w14:textId="2CDD8BBE" w:rsidR="002E3223" w:rsidRPr="001809CB" w:rsidRDefault="002E3223" w:rsidP="002E3223">
      <w:pPr>
        <w:spacing w:after="0" w:line="240" w:lineRule="auto"/>
        <w:jc w:val="both"/>
        <w:rPr>
          <w:rFonts w:ascii="Verdana" w:eastAsia="Times New Roman" w:hAnsi="Verdana" w:cs="Times New Roman"/>
          <w:lang w:val="en-US"/>
        </w:rPr>
      </w:pPr>
      <w:r>
        <w:rPr>
          <w:rFonts w:ascii="Verdana" w:eastAsia="Times New Roman" w:hAnsi="Verdana" w:cs="Times New Roman"/>
          <w:lang w:val="en-GB"/>
        </w:rPr>
        <w:lastRenderedPageBreak/>
        <w:t xml:space="preserve">The EDB estimates that demand for modern warehouse space in the region could almost double, reaching </w:t>
      </w:r>
      <w:r>
        <w:rPr>
          <w:rFonts w:ascii="Verdana" w:eastAsia="Times New Roman" w:hAnsi="Verdana" w:cs="Times New Roman"/>
          <w:b/>
          <w:bCs/>
          <w:lang w:val="en-GB"/>
        </w:rPr>
        <w:t>101–12</w:t>
      </w:r>
      <w:r w:rsidR="0087365D" w:rsidRPr="0087365D">
        <w:rPr>
          <w:rFonts w:ascii="Verdana" w:eastAsia="Times New Roman" w:hAnsi="Verdana" w:cs="Times New Roman"/>
          <w:b/>
          <w:bCs/>
          <w:lang w:val="en-US"/>
        </w:rPr>
        <w:t>3</w:t>
      </w:r>
      <w:bookmarkStart w:id="0" w:name="_GoBack"/>
      <w:bookmarkEnd w:id="0"/>
      <w:r>
        <w:rPr>
          <w:rFonts w:ascii="Verdana" w:eastAsia="Times New Roman" w:hAnsi="Verdana" w:cs="Times New Roman"/>
          <w:b/>
          <w:bCs/>
          <w:lang w:val="en-GB"/>
        </w:rPr>
        <w:t xml:space="preserve"> </w:t>
      </w:r>
      <w:r w:rsidR="006904F5">
        <w:rPr>
          <w:rFonts w:ascii="Verdana" w:eastAsia="Times New Roman" w:hAnsi="Verdana" w:cs="Times New Roman"/>
          <w:b/>
          <w:bCs/>
          <w:lang w:val="en-GB"/>
        </w:rPr>
        <w:t>million m</w:t>
      </w:r>
      <w:r w:rsidR="00CF793E" w:rsidRPr="001809CB">
        <w:rPr>
          <w:rFonts w:ascii="Verdana" w:eastAsia="Times New Roman" w:hAnsi="Verdana" w:cs="Times New Roman"/>
          <w:b/>
          <w:bCs/>
          <w:vertAlign w:val="superscript"/>
          <w:lang w:val="en-GB"/>
        </w:rPr>
        <w:t>2</w:t>
      </w:r>
      <w:r>
        <w:rPr>
          <w:rFonts w:ascii="Verdana" w:eastAsia="Times New Roman" w:hAnsi="Verdana" w:cs="Times New Roman"/>
          <w:b/>
          <w:bCs/>
          <w:lang w:val="en-GB"/>
        </w:rPr>
        <w:t xml:space="preserve"> by 2040</w:t>
      </w:r>
      <w:r>
        <w:rPr>
          <w:rFonts w:ascii="Verdana" w:eastAsia="Times New Roman" w:hAnsi="Verdana" w:cs="Times New Roman"/>
          <w:lang w:val="en-GB"/>
        </w:rPr>
        <w:t>.</w:t>
      </w:r>
      <w:r>
        <w:rPr>
          <w:rFonts w:ascii="Verdana" w:eastAsia="Times New Roman" w:hAnsi="Verdana" w:cs="Times New Roman"/>
          <w:b/>
          <w:bCs/>
          <w:lang w:val="en-GB"/>
        </w:rPr>
        <w:t xml:space="preserve"> </w:t>
      </w:r>
    </w:p>
    <w:p w14:paraId="6140C096" w14:textId="77777777" w:rsidR="002E3223" w:rsidRPr="001809CB" w:rsidRDefault="002E3223" w:rsidP="002E3223">
      <w:pPr>
        <w:spacing w:after="0" w:line="240" w:lineRule="auto"/>
        <w:jc w:val="both"/>
        <w:rPr>
          <w:rFonts w:ascii="Verdana" w:eastAsia="Times New Roman" w:hAnsi="Verdana" w:cs="Times New Roman"/>
          <w:lang w:val="en-US"/>
        </w:rPr>
      </w:pPr>
    </w:p>
    <w:p w14:paraId="0C29202C" w14:textId="77777777" w:rsidR="002E3223" w:rsidRPr="005561B9" w:rsidRDefault="002E3223" w:rsidP="002E3223">
      <w:pPr>
        <w:spacing w:after="0" w:line="240" w:lineRule="auto"/>
        <w:jc w:val="both"/>
        <w:rPr>
          <w:rFonts w:ascii="Verdana" w:eastAsia="Times New Roman" w:hAnsi="Verdana" w:cs="Times New Roman"/>
          <w:b/>
          <w:lang w:val="en-US"/>
        </w:rPr>
      </w:pPr>
      <w:r>
        <w:rPr>
          <w:rFonts w:ascii="Verdana" w:eastAsia="Times New Roman" w:hAnsi="Verdana" w:cs="Times New Roman"/>
          <w:b/>
          <w:bCs/>
          <w:lang w:val="en-GB"/>
        </w:rPr>
        <w:t>Expected demand by segment:</w:t>
      </w:r>
    </w:p>
    <w:p w14:paraId="20C3FE1F" w14:textId="79311FED" w:rsidR="002E3223" w:rsidRPr="001809CB" w:rsidRDefault="002E3223" w:rsidP="002E3223">
      <w:pPr>
        <w:spacing w:after="0" w:line="240" w:lineRule="auto"/>
        <w:ind w:firstLine="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r>
      <w:r>
        <w:rPr>
          <w:rFonts w:ascii="Verdana" w:eastAsia="Times New Roman" w:hAnsi="Verdana" w:cs="Times New Roman"/>
          <w:b/>
          <w:bCs/>
          <w:lang w:val="en-GB"/>
        </w:rPr>
        <w:t>73–87</w:t>
      </w:r>
      <w:r>
        <w:rPr>
          <w:rFonts w:ascii="Verdana" w:eastAsia="Times New Roman" w:hAnsi="Verdana" w:cs="Times New Roman"/>
          <w:lang w:val="en-GB"/>
        </w:rPr>
        <w:t xml:space="preserve"> </w:t>
      </w:r>
      <w:r>
        <w:rPr>
          <w:rFonts w:ascii="Verdana" w:eastAsia="Times New Roman" w:hAnsi="Verdana" w:cs="Times New Roman"/>
          <w:b/>
          <w:bCs/>
          <w:lang w:val="en-GB"/>
        </w:rPr>
        <w:t>million m</w:t>
      </w:r>
      <w:r w:rsidR="00CF793E" w:rsidRPr="001809CB">
        <w:rPr>
          <w:rFonts w:ascii="Verdana" w:eastAsia="Times New Roman" w:hAnsi="Verdana" w:cs="Times New Roman"/>
          <w:b/>
          <w:bCs/>
          <w:vertAlign w:val="superscript"/>
          <w:lang w:val="en-GB"/>
        </w:rPr>
        <w:t>2</w:t>
      </w:r>
      <w:r>
        <w:rPr>
          <w:rFonts w:ascii="Verdana" w:eastAsia="Times New Roman" w:hAnsi="Verdana" w:cs="Times New Roman"/>
          <w:lang w:val="en-GB"/>
        </w:rPr>
        <w:t xml:space="preserve"> – retail (</w:t>
      </w:r>
      <w:r>
        <w:rPr>
          <w:rFonts w:ascii="Verdana" w:eastAsia="Times New Roman" w:hAnsi="Verdana" w:cs="Times New Roman"/>
          <w:i/>
          <w:iCs/>
          <w:sz w:val="20"/>
          <w:lang w:val="en-GB"/>
        </w:rPr>
        <w:t>quality dry ports</w:t>
      </w:r>
      <w:r>
        <w:rPr>
          <w:rFonts w:ascii="Verdana" w:eastAsia="Times New Roman" w:hAnsi="Verdana" w:cs="Times New Roman"/>
          <w:lang w:val="en-GB"/>
        </w:rPr>
        <w:t>)</w:t>
      </w:r>
    </w:p>
    <w:p w14:paraId="19F89F57" w14:textId="6CA2AD4C" w:rsidR="002E3223" w:rsidRPr="001809CB" w:rsidRDefault="002E3223" w:rsidP="002E3223">
      <w:pPr>
        <w:spacing w:after="0" w:line="240" w:lineRule="auto"/>
        <w:ind w:left="1440" w:hanging="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r>
      <w:r>
        <w:rPr>
          <w:rFonts w:ascii="Verdana" w:eastAsia="Times New Roman" w:hAnsi="Verdana" w:cs="Times New Roman"/>
          <w:b/>
          <w:bCs/>
          <w:lang w:val="en-GB"/>
        </w:rPr>
        <w:t>23–27</w:t>
      </w:r>
      <w:r>
        <w:rPr>
          <w:rFonts w:ascii="Verdana" w:eastAsia="Times New Roman" w:hAnsi="Verdana" w:cs="Times New Roman"/>
          <w:lang w:val="en-GB"/>
        </w:rPr>
        <w:t xml:space="preserve"> </w:t>
      </w:r>
      <w:r>
        <w:rPr>
          <w:rFonts w:ascii="Verdana" w:eastAsia="Times New Roman" w:hAnsi="Verdana" w:cs="Times New Roman"/>
          <w:b/>
          <w:bCs/>
          <w:lang w:val="en-GB"/>
        </w:rPr>
        <w:t>million m</w:t>
      </w:r>
      <w:r w:rsidR="00CF793E" w:rsidRPr="001809CB">
        <w:rPr>
          <w:rFonts w:ascii="Verdana" w:eastAsia="Times New Roman" w:hAnsi="Verdana" w:cs="Times New Roman"/>
          <w:b/>
          <w:bCs/>
          <w:vertAlign w:val="superscript"/>
          <w:lang w:val="en-GB"/>
        </w:rPr>
        <w:t>2</w:t>
      </w:r>
      <w:r>
        <w:rPr>
          <w:rFonts w:ascii="Verdana" w:eastAsia="Times New Roman" w:hAnsi="Verdana" w:cs="Times New Roman"/>
          <w:lang w:val="en-GB"/>
        </w:rPr>
        <w:t xml:space="preserve"> – e-commerce (</w:t>
      </w:r>
      <w:r>
        <w:rPr>
          <w:rFonts w:ascii="Verdana" w:eastAsia="Times New Roman" w:hAnsi="Verdana" w:cs="Times New Roman"/>
          <w:i/>
          <w:iCs/>
          <w:sz w:val="20"/>
          <w:lang w:val="en-GB"/>
        </w:rPr>
        <w:t>fulfilment centres, distribution warehouses, urban logistics</w:t>
      </w:r>
      <w:r>
        <w:rPr>
          <w:rFonts w:ascii="Verdana" w:eastAsia="Times New Roman" w:hAnsi="Verdana" w:cs="Times New Roman"/>
          <w:lang w:val="en-GB"/>
        </w:rPr>
        <w:t>)</w:t>
      </w:r>
    </w:p>
    <w:p w14:paraId="7205894B" w14:textId="37DF3385" w:rsidR="002E3223" w:rsidRPr="001809CB" w:rsidRDefault="002E3223" w:rsidP="002E3223">
      <w:pPr>
        <w:spacing w:after="0" w:line="240" w:lineRule="auto"/>
        <w:ind w:left="1440" w:hanging="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r>
      <w:r>
        <w:rPr>
          <w:rFonts w:ascii="Verdana" w:eastAsia="Times New Roman" w:hAnsi="Verdana" w:cs="Times New Roman"/>
          <w:b/>
          <w:bCs/>
          <w:lang w:val="en-GB"/>
        </w:rPr>
        <w:t>4.7–7</w:t>
      </w:r>
      <w:r>
        <w:rPr>
          <w:rFonts w:ascii="Verdana" w:eastAsia="Times New Roman" w:hAnsi="Verdana" w:cs="Times New Roman"/>
          <w:lang w:val="en-GB"/>
        </w:rPr>
        <w:t xml:space="preserve"> </w:t>
      </w:r>
      <w:r>
        <w:rPr>
          <w:rFonts w:ascii="Verdana" w:eastAsia="Times New Roman" w:hAnsi="Verdana" w:cs="Times New Roman"/>
          <w:b/>
          <w:bCs/>
          <w:lang w:val="en-GB"/>
        </w:rPr>
        <w:t>million m</w:t>
      </w:r>
      <w:r w:rsidR="00CF793E" w:rsidRPr="001809CB">
        <w:rPr>
          <w:rFonts w:ascii="Verdana" w:eastAsia="Times New Roman" w:hAnsi="Verdana" w:cs="Times New Roman"/>
          <w:b/>
          <w:bCs/>
          <w:vertAlign w:val="superscript"/>
          <w:lang w:val="en-GB"/>
        </w:rPr>
        <w:t>2</w:t>
      </w:r>
      <w:r>
        <w:rPr>
          <w:rFonts w:ascii="Verdana" w:eastAsia="Times New Roman" w:hAnsi="Verdana" w:cs="Times New Roman"/>
          <w:lang w:val="en-GB"/>
        </w:rPr>
        <w:t xml:space="preserve"> – agribusiness (</w:t>
      </w:r>
      <w:r>
        <w:rPr>
          <w:rFonts w:ascii="Verdana" w:eastAsia="Times New Roman" w:hAnsi="Verdana" w:cs="Times New Roman"/>
          <w:i/>
          <w:iCs/>
          <w:sz w:val="20"/>
          <w:lang w:val="en-GB"/>
        </w:rPr>
        <w:t>including refrigeration facilities and agricultural logistics facilities</w:t>
      </w:r>
      <w:r>
        <w:rPr>
          <w:rFonts w:ascii="Verdana" w:eastAsia="Times New Roman" w:hAnsi="Verdana" w:cs="Times New Roman"/>
          <w:lang w:val="en-GB"/>
        </w:rPr>
        <w:t>)</w:t>
      </w:r>
    </w:p>
    <w:p w14:paraId="59710764" w14:textId="08C85959" w:rsidR="002E3223" w:rsidRPr="001809CB" w:rsidRDefault="002E3223" w:rsidP="002E3223">
      <w:pPr>
        <w:spacing w:after="0" w:line="240" w:lineRule="auto"/>
        <w:ind w:left="1440" w:hanging="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r>
      <w:r>
        <w:rPr>
          <w:rFonts w:ascii="Verdana" w:eastAsia="Times New Roman" w:hAnsi="Verdana" w:cs="Times New Roman"/>
          <w:b/>
          <w:bCs/>
          <w:lang w:val="en-GB"/>
        </w:rPr>
        <w:t>1.3–1.6 million m</w:t>
      </w:r>
      <w:r w:rsidR="00CF793E" w:rsidRPr="001809CB">
        <w:rPr>
          <w:rFonts w:ascii="Verdana" w:eastAsia="Times New Roman" w:hAnsi="Verdana" w:cs="Times New Roman"/>
          <w:b/>
          <w:bCs/>
          <w:vertAlign w:val="superscript"/>
          <w:lang w:val="en-GB"/>
        </w:rPr>
        <w:t>2</w:t>
      </w:r>
      <w:r>
        <w:rPr>
          <w:rFonts w:ascii="Verdana" w:eastAsia="Times New Roman" w:hAnsi="Verdana" w:cs="Times New Roman"/>
          <w:lang w:val="en-GB"/>
        </w:rPr>
        <w:t xml:space="preserve"> – pharmaceuticals (</w:t>
      </w:r>
      <w:r>
        <w:rPr>
          <w:rFonts w:ascii="Verdana" w:eastAsia="Times New Roman" w:hAnsi="Verdana" w:cs="Times New Roman"/>
          <w:i/>
          <w:iCs/>
          <w:sz w:val="20"/>
          <w:lang w:val="en-GB"/>
        </w:rPr>
        <w:t>including GMP-class and regional distribution hubs</w:t>
      </w:r>
      <w:r>
        <w:rPr>
          <w:rFonts w:ascii="Verdana" w:eastAsia="Times New Roman" w:hAnsi="Verdana" w:cs="Times New Roman"/>
          <w:lang w:val="en-GB"/>
        </w:rPr>
        <w:t>)</w:t>
      </w:r>
    </w:p>
    <w:p w14:paraId="60357EFD" w14:textId="38C4CFF4" w:rsidR="002E3223" w:rsidRPr="001809CB" w:rsidRDefault="002E3223" w:rsidP="002E3223">
      <w:pPr>
        <w:spacing w:after="0" w:line="240" w:lineRule="auto"/>
        <w:ind w:left="1440" w:hanging="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r>
      <w:r>
        <w:rPr>
          <w:rFonts w:ascii="Verdana" w:eastAsia="Times New Roman" w:hAnsi="Verdana" w:cs="Times New Roman"/>
          <w:b/>
          <w:bCs/>
          <w:lang w:val="en-GB"/>
        </w:rPr>
        <w:t xml:space="preserve">4–4.3 </w:t>
      </w:r>
      <w:r w:rsidR="00CF793E">
        <w:rPr>
          <w:rFonts w:ascii="Verdana" w:eastAsia="Times New Roman" w:hAnsi="Verdana" w:cs="Times New Roman"/>
          <w:b/>
          <w:bCs/>
          <w:lang w:val="en-US"/>
        </w:rPr>
        <w:t xml:space="preserve">thousand </w:t>
      </w:r>
      <w:r>
        <w:rPr>
          <w:rFonts w:ascii="Verdana" w:eastAsia="Times New Roman" w:hAnsi="Verdana" w:cs="Times New Roman"/>
          <w:b/>
          <w:bCs/>
          <w:lang w:val="en-GB"/>
        </w:rPr>
        <w:t>hectares</w:t>
      </w:r>
      <w:r>
        <w:rPr>
          <w:rFonts w:ascii="Verdana" w:eastAsia="Times New Roman" w:hAnsi="Verdana" w:cs="Times New Roman"/>
          <w:lang w:val="en-GB"/>
        </w:rPr>
        <w:t xml:space="preserve"> – transport (</w:t>
      </w:r>
      <w:r>
        <w:rPr>
          <w:rFonts w:ascii="Verdana" w:eastAsia="Times New Roman" w:hAnsi="Verdana" w:cs="Times New Roman"/>
          <w:i/>
          <w:iCs/>
          <w:sz w:val="20"/>
          <w:lang w:val="en-GB"/>
        </w:rPr>
        <w:t>transhipment terminals, container and open areas</w:t>
      </w:r>
      <w:r>
        <w:rPr>
          <w:rFonts w:ascii="Verdana" w:eastAsia="Times New Roman" w:hAnsi="Verdana" w:cs="Times New Roman"/>
          <w:lang w:val="en-GB"/>
        </w:rPr>
        <w:t>)</w:t>
      </w:r>
    </w:p>
    <w:p w14:paraId="7F558CD1" w14:textId="77777777" w:rsidR="002E3223" w:rsidRPr="001809CB" w:rsidRDefault="002E3223" w:rsidP="002E3223">
      <w:pPr>
        <w:spacing w:after="0" w:line="240" w:lineRule="auto"/>
        <w:jc w:val="both"/>
        <w:rPr>
          <w:rFonts w:ascii="Arial Narrow" w:eastAsia="Times New Roman" w:hAnsi="Arial Narrow" w:cs="Arial"/>
          <w:color w:val="000000"/>
          <w:lang w:val="en-US"/>
        </w:rPr>
      </w:pPr>
    </w:p>
    <w:p w14:paraId="1008371F" w14:textId="77777777" w:rsidR="002E3223" w:rsidRPr="001809CB" w:rsidRDefault="002E3223" w:rsidP="002E3223">
      <w:pPr>
        <w:spacing w:before="120" w:after="120" w:line="240" w:lineRule="auto"/>
        <w:jc w:val="both"/>
        <w:rPr>
          <w:rFonts w:ascii="Verdana" w:eastAsia="Times New Roman" w:hAnsi="Verdana" w:cs="Times New Roman"/>
          <w:b/>
          <w:lang w:val="en-US"/>
        </w:rPr>
      </w:pPr>
      <w:r>
        <w:rPr>
          <w:rFonts w:ascii="Verdana" w:eastAsia="Times New Roman" w:hAnsi="Verdana" w:cs="Times New Roman"/>
          <w:b/>
          <w:bCs/>
          <w:lang w:val="en-GB"/>
        </w:rPr>
        <w:t>What is needed to realise the potential</w:t>
      </w:r>
    </w:p>
    <w:p w14:paraId="26376A38"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 xml:space="preserve">To unlock the potential of the warehousing sector, EDB experts highlight the need for coordinated action by governments, businesses and international institutions. The top priority is to create a unified institutional environment that enhances investment attractiveness and market transparency. </w:t>
      </w:r>
    </w:p>
    <w:p w14:paraId="36F2A489" w14:textId="77777777" w:rsidR="002E3223" w:rsidRPr="001809CB" w:rsidRDefault="002E3223" w:rsidP="002E3223">
      <w:pPr>
        <w:spacing w:before="120" w:after="120" w:line="240" w:lineRule="auto"/>
        <w:jc w:val="both"/>
        <w:rPr>
          <w:rFonts w:ascii="Verdana" w:eastAsia="Times New Roman" w:hAnsi="Verdana" w:cs="Times New Roman"/>
          <w:b/>
          <w:lang w:val="en-US"/>
        </w:rPr>
      </w:pPr>
      <w:r>
        <w:rPr>
          <w:rFonts w:ascii="Verdana" w:eastAsia="Times New Roman" w:hAnsi="Verdana" w:cs="Times New Roman"/>
          <w:b/>
          <w:bCs/>
          <w:lang w:val="en-GB"/>
        </w:rPr>
        <w:t>Key measures:</w:t>
      </w:r>
    </w:p>
    <w:p w14:paraId="159EEC78" w14:textId="77777777" w:rsidR="002E3223" w:rsidRPr="001809CB" w:rsidRDefault="002E3223" w:rsidP="002E3223">
      <w:pPr>
        <w:spacing w:before="120" w:after="120" w:line="240" w:lineRule="auto"/>
        <w:ind w:firstLine="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t>Unifying standards and harmonising customs procedures</w:t>
      </w:r>
    </w:p>
    <w:p w14:paraId="0CE28320" w14:textId="77777777" w:rsidR="002E3223" w:rsidRPr="001809CB" w:rsidRDefault="002E3223" w:rsidP="002E3223">
      <w:pPr>
        <w:spacing w:before="120" w:after="120" w:line="240" w:lineRule="auto"/>
        <w:ind w:firstLine="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t>Implementing digital platforms and logistics management systems</w:t>
      </w:r>
    </w:p>
    <w:p w14:paraId="68CD19B2" w14:textId="77777777" w:rsidR="002E3223" w:rsidRPr="001809CB" w:rsidRDefault="002E3223" w:rsidP="002E3223">
      <w:pPr>
        <w:spacing w:before="120" w:after="120" w:line="240" w:lineRule="auto"/>
        <w:ind w:left="1440" w:hanging="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t>Accelerating the construction of distribution centres and specialised facilities for agricultural and pharmaceutical products, multimodal hubs and dry ports at transport corridor nodes</w:t>
      </w:r>
    </w:p>
    <w:p w14:paraId="1F5FAEE9" w14:textId="77777777" w:rsidR="002E3223" w:rsidRPr="001809CB" w:rsidRDefault="002E3223" w:rsidP="002E3223">
      <w:pPr>
        <w:spacing w:before="120" w:after="120" w:line="240" w:lineRule="auto"/>
        <w:ind w:left="1440" w:hanging="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t>Developing PPP mechanisms, collective financing instruments and infrastructure bonds</w:t>
      </w:r>
    </w:p>
    <w:p w14:paraId="34C5F40A" w14:textId="77777777" w:rsidR="002E3223" w:rsidRPr="001809CB" w:rsidRDefault="002E3223" w:rsidP="002E3223">
      <w:pPr>
        <w:spacing w:before="120" w:after="120" w:line="240" w:lineRule="auto"/>
        <w:ind w:firstLine="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t>Stimulating investment through tax incentives</w:t>
      </w:r>
    </w:p>
    <w:p w14:paraId="293003D8" w14:textId="77777777" w:rsidR="002E3223" w:rsidRPr="001809CB" w:rsidRDefault="002E3223" w:rsidP="002E3223">
      <w:pPr>
        <w:spacing w:before="120" w:after="120" w:line="240" w:lineRule="auto"/>
        <w:ind w:firstLine="720"/>
        <w:jc w:val="both"/>
        <w:rPr>
          <w:rFonts w:ascii="Verdana" w:eastAsia="Times New Roman" w:hAnsi="Verdana" w:cs="Times New Roman"/>
          <w:lang w:val="en-US"/>
        </w:rPr>
      </w:pPr>
      <w:r>
        <w:rPr>
          <w:rFonts w:ascii="Verdana" w:eastAsia="Times New Roman" w:hAnsi="Verdana" w:cs="Times New Roman"/>
          <w:lang w:val="en-GB"/>
        </w:rPr>
        <w:t>•</w:t>
      </w:r>
      <w:r>
        <w:rPr>
          <w:rFonts w:ascii="Verdana" w:eastAsia="Times New Roman" w:hAnsi="Verdana" w:cs="Times New Roman"/>
          <w:lang w:val="en-GB"/>
        </w:rPr>
        <w:tab/>
        <w:t>Enhancing human resource development</w:t>
      </w:r>
    </w:p>
    <w:p w14:paraId="321031A3"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Green energy efficiency standards and ESG principles are becoming increasingly important. Their implementation will reduce costs, increase the sustainability of logistics chains and attract long-term institutional investors.</w:t>
      </w:r>
    </w:p>
    <w:p w14:paraId="324D0E96" w14:textId="77777777" w:rsidR="002E3223" w:rsidRPr="001809CB" w:rsidRDefault="002E3223" w:rsidP="002E3223">
      <w:pPr>
        <w:spacing w:before="120" w:after="120" w:line="240" w:lineRule="auto"/>
        <w:jc w:val="both"/>
        <w:rPr>
          <w:rFonts w:ascii="Verdana" w:eastAsia="Times New Roman" w:hAnsi="Verdana" w:cs="Times New Roman"/>
          <w:lang w:val="en-US"/>
        </w:rPr>
      </w:pPr>
      <w:r>
        <w:rPr>
          <w:rFonts w:ascii="Verdana" w:eastAsia="Times New Roman" w:hAnsi="Verdana" w:cs="Times New Roman"/>
          <w:lang w:val="en-GB"/>
        </w:rPr>
        <w:t>Implementing these measures will help eliminate existing bottlenecks in Eurasia’s warehousing infrastructure. A modern Eurasian transport and logistics network will connect key economic centres and support the continued growth of trade flows in the new geoeconomic reality. This will create a solid foundation for integrating the region into global supply chains and unlocking its economic potential.</w:t>
      </w:r>
    </w:p>
    <w:p w14:paraId="51355833" w14:textId="77777777" w:rsidR="002E3223" w:rsidRPr="001809CB" w:rsidRDefault="002E3223" w:rsidP="002E3223">
      <w:pPr>
        <w:spacing w:before="120" w:after="120" w:line="240" w:lineRule="auto"/>
        <w:jc w:val="both"/>
        <w:rPr>
          <w:rFonts w:ascii="Verdana" w:hAnsi="Verdana" w:cs="Arial"/>
          <w:lang w:val="en-US"/>
        </w:rPr>
      </w:pPr>
      <w:r>
        <w:rPr>
          <w:rFonts w:ascii="Verdana" w:hAnsi="Verdana"/>
          <w:lang w:val="en-GB"/>
        </w:rPr>
        <w:t xml:space="preserve">The report </w:t>
      </w:r>
      <w:r>
        <w:rPr>
          <w:rFonts w:ascii="Verdana" w:hAnsi="Verdana"/>
          <w:i/>
          <w:iCs/>
          <w:lang w:val="en-GB"/>
        </w:rPr>
        <w:t>Warehousing Infrastructure in Eurasia: An Opportunity of the Decade</w:t>
      </w:r>
      <w:r>
        <w:rPr>
          <w:rFonts w:ascii="Verdana" w:hAnsi="Verdana"/>
          <w:lang w:val="en-GB"/>
        </w:rPr>
        <w:t xml:space="preserve"> is available on the Bank’s </w:t>
      </w:r>
      <w:hyperlink r:id="rId12" w:history="1">
        <w:r>
          <w:rPr>
            <w:rStyle w:val="a6"/>
            <w:rFonts w:ascii="Verdana" w:hAnsi="Verdana" w:cs="Arial"/>
            <w:lang w:val="en-GB"/>
          </w:rPr>
          <w:t>website</w:t>
        </w:r>
      </w:hyperlink>
      <w:r>
        <w:rPr>
          <w:rFonts w:ascii="Verdana" w:hAnsi="Verdana"/>
          <w:lang w:val="en-GB"/>
        </w:rPr>
        <w:t>.</w:t>
      </w:r>
    </w:p>
    <w:p w14:paraId="06856FDA" w14:textId="77777777" w:rsidR="002E3223" w:rsidRPr="003E6EC3" w:rsidRDefault="002E3223" w:rsidP="002E3223">
      <w:pPr>
        <w:pStyle w:val="a4"/>
        <w:shd w:val="clear" w:color="auto" w:fill="FFFFFF"/>
        <w:spacing w:before="120" w:beforeAutospacing="0" w:after="120" w:afterAutospacing="0"/>
        <w:textAlignment w:val="baseline"/>
        <w:rPr>
          <w:rFonts w:ascii="Verdana" w:eastAsiaTheme="minorHAnsi" w:hAnsi="Verdana"/>
          <w:b/>
          <w:bCs/>
          <w:i/>
          <w:iCs/>
          <w:color w:val="000000"/>
          <w:spacing w:val="-2"/>
          <w:sz w:val="22"/>
          <w:szCs w:val="22"/>
        </w:rPr>
      </w:pPr>
      <w:r>
        <w:rPr>
          <w:rFonts w:ascii="Verdana" w:hAnsi="Verdana"/>
          <w:b/>
          <w:bCs/>
          <w:i/>
          <w:iCs/>
          <w:color w:val="000000"/>
          <w:sz w:val="22"/>
          <w:szCs w:val="22"/>
          <w:lang w:val="en-GB"/>
        </w:rPr>
        <w:t>Additional Information:</w:t>
      </w:r>
    </w:p>
    <w:p w14:paraId="4820B112" w14:textId="77777777" w:rsidR="002E3223" w:rsidRPr="00CF53AD" w:rsidRDefault="002E3223" w:rsidP="002E3223">
      <w:pPr>
        <w:pStyle w:val="a4"/>
        <w:shd w:val="clear" w:color="auto" w:fill="FFFFFF"/>
        <w:spacing w:before="120" w:beforeAutospacing="0" w:after="120" w:afterAutospacing="0"/>
        <w:jc w:val="both"/>
        <w:textAlignment w:val="baseline"/>
        <w:rPr>
          <w:rFonts w:ascii="Verdana" w:hAnsi="Verdana"/>
          <w:i/>
          <w:iCs/>
          <w:color w:val="000000"/>
          <w:spacing w:val="-2"/>
          <w:sz w:val="20"/>
          <w:szCs w:val="20"/>
        </w:rPr>
      </w:pPr>
      <w:r w:rsidRPr="00CF53AD">
        <w:rPr>
          <w:rFonts w:ascii="Verdana" w:hAnsi="Verdana"/>
          <w:i/>
          <w:iCs/>
          <w:sz w:val="22"/>
          <w:szCs w:val="22"/>
          <w:lang w:val="en-GB"/>
        </w:rPr>
        <w:t xml:space="preserve">The </w:t>
      </w:r>
      <w:r w:rsidRPr="00CF53AD">
        <w:rPr>
          <w:rFonts w:ascii="Verdana" w:hAnsi="Verdana"/>
          <w:b/>
          <w:bCs/>
          <w:i/>
          <w:iCs/>
          <w:sz w:val="22"/>
          <w:szCs w:val="22"/>
          <w:lang w:val="en-GB"/>
        </w:rPr>
        <w:t>Eurasian Development Bank (EDB)</w:t>
      </w:r>
      <w:r w:rsidRPr="00CF53AD">
        <w:rPr>
          <w:rFonts w:ascii="Verdana" w:hAnsi="Verdana"/>
          <w:i/>
          <w:iCs/>
          <w:sz w:val="22"/>
          <w:szCs w:val="22"/>
          <w:lang w:val="en-GB"/>
        </w:rPr>
        <w:t xml:space="preserve"> is a multilateral development bank investing in Eurasia. For more than 19 years, the Bank has worked to strengthen and expand economic ties and foster comprehensive development in its member countries. By July 2025, the EDB’s cumulative portfolio comprised 319 projects with a total investment of </w:t>
      </w:r>
      <w:r w:rsidRPr="00CF53AD">
        <w:rPr>
          <w:rFonts w:ascii="Verdana" w:hAnsi="Verdana"/>
          <w:i/>
          <w:iCs/>
          <w:sz w:val="22"/>
          <w:szCs w:val="22"/>
          <w:lang w:val="en-GB"/>
        </w:rPr>
        <w:lastRenderedPageBreak/>
        <w:t>US $19.1 billion. The portfolio consists principally of projects with an integration effect in transport infrastructure, digital systems, green energy, agriculture, manufacturing and mechanical engineering. The Bank adheres to the UN Sustainable Development Goals and ESG principles in its operations.</w:t>
      </w:r>
    </w:p>
    <w:p w14:paraId="2935E631" w14:textId="77777777" w:rsidR="002E3223" w:rsidRPr="003E6EC3" w:rsidRDefault="002E3223" w:rsidP="002E3223">
      <w:pPr>
        <w:pStyle w:val="a4"/>
        <w:shd w:val="clear" w:color="auto" w:fill="FFFFFF"/>
        <w:spacing w:before="120" w:beforeAutospacing="0" w:after="120" w:afterAutospacing="0"/>
        <w:jc w:val="both"/>
        <w:textAlignment w:val="baseline"/>
        <w:rPr>
          <w:rFonts w:ascii="Verdana" w:hAnsi="Verdana"/>
          <w:i/>
          <w:iCs/>
          <w:color w:val="000000"/>
          <w:spacing w:val="-2"/>
          <w:sz w:val="22"/>
          <w:szCs w:val="22"/>
        </w:rPr>
      </w:pPr>
      <w:r>
        <w:rPr>
          <w:rFonts w:ascii="Verdana" w:hAnsi="Verdana"/>
          <w:i/>
          <w:iCs/>
          <w:color w:val="000000"/>
          <w:sz w:val="22"/>
          <w:szCs w:val="22"/>
          <w:lang w:val="en-GB"/>
        </w:rPr>
        <w:t>The EDB is implementing three mega-projects as part of its 2022–2026 Strategy: the Central Asian Water and Energy Complex, the Eurasian Transport Network and the Eurasian Agricultural Goods Distribution System.</w:t>
      </w:r>
    </w:p>
    <w:p w14:paraId="13CCB9CC" w14:textId="77777777" w:rsidR="002E3223" w:rsidRPr="003E6EC3" w:rsidRDefault="002E3223" w:rsidP="002E3223">
      <w:pPr>
        <w:pStyle w:val="a4"/>
        <w:shd w:val="clear" w:color="auto" w:fill="FFFFFF"/>
        <w:spacing w:before="120" w:beforeAutospacing="0" w:after="120" w:afterAutospacing="0"/>
        <w:jc w:val="both"/>
        <w:textAlignment w:val="baseline"/>
        <w:rPr>
          <w:rFonts w:ascii="Verdana" w:hAnsi="Verdana"/>
          <w:b/>
          <w:bCs/>
          <w:color w:val="000000"/>
          <w:spacing w:val="-2"/>
          <w:sz w:val="22"/>
          <w:szCs w:val="22"/>
        </w:rPr>
      </w:pPr>
      <w:r>
        <w:rPr>
          <w:rFonts w:ascii="Verdana" w:hAnsi="Verdana"/>
          <w:b/>
          <w:bCs/>
          <w:color w:val="000000"/>
          <w:sz w:val="22"/>
          <w:szCs w:val="22"/>
          <w:lang w:val="en-GB"/>
        </w:rPr>
        <w:t>The EDB Media Centre:</w:t>
      </w:r>
    </w:p>
    <w:p w14:paraId="30009257" w14:textId="77777777" w:rsidR="002E3223" w:rsidRPr="003E6EC3" w:rsidRDefault="002E3223" w:rsidP="002E3223">
      <w:pPr>
        <w:pStyle w:val="a4"/>
        <w:shd w:val="clear" w:color="auto" w:fill="FFFFFF"/>
        <w:spacing w:before="120" w:beforeAutospacing="0" w:after="120" w:afterAutospacing="0"/>
        <w:jc w:val="both"/>
        <w:textAlignment w:val="baseline"/>
        <w:rPr>
          <w:rFonts w:ascii="Verdana" w:hAnsi="Verdana"/>
          <w:i/>
          <w:iCs/>
          <w:color w:val="000000"/>
          <w:spacing w:val="-2"/>
          <w:sz w:val="22"/>
          <w:szCs w:val="22"/>
        </w:rPr>
      </w:pPr>
      <w:r>
        <w:rPr>
          <w:rFonts w:ascii="Verdana" w:hAnsi="Verdana"/>
          <w:i/>
          <w:iCs/>
          <w:color w:val="000000"/>
          <w:sz w:val="22"/>
          <w:szCs w:val="22"/>
          <w:lang w:val="en-GB"/>
        </w:rPr>
        <w:t>+7 (727) 244 40 44, ext. 4774 and 2160</w:t>
      </w:r>
    </w:p>
    <w:p w14:paraId="20FAD52C" w14:textId="77777777" w:rsidR="002E3223" w:rsidRPr="003E6EC3" w:rsidRDefault="0087365D" w:rsidP="002E3223">
      <w:pPr>
        <w:pStyle w:val="a4"/>
        <w:shd w:val="clear" w:color="auto" w:fill="FFFFFF"/>
        <w:spacing w:before="120" w:beforeAutospacing="0" w:after="120" w:afterAutospacing="0"/>
        <w:jc w:val="both"/>
        <w:textAlignment w:val="baseline"/>
        <w:rPr>
          <w:rFonts w:ascii="Verdana" w:hAnsi="Verdana"/>
          <w:color w:val="000000"/>
          <w:spacing w:val="-2"/>
          <w:sz w:val="22"/>
          <w:szCs w:val="22"/>
        </w:rPr>
      </w:pPr>
      <w:hyperlink r:id="rId13" w:history="1">
        <w:r w:rsidR="002E3223">
          <w:rPr>
            <w:rStyle w:val="a6"/>
            <w:rFonts w:ascii="Verdana" w:hAnsi="Verdana"/>
            <w:i/>
            <w:iCs/>
            <w:sz w:val="22"/>
            <w:szCs w:val="22"/>
            <w:bdr w:val="none" w:sz="0" w:space="0" w:color="auto" w:frame="1"/>
            <w:lang w:val="en-GB"/>
          </w:rPr>
          <w:t>pressa@eabr.org</w:t>
        </w:r>
      </w:hyperlink>
    </w:p>
    <w:p w14:paraId="3F831DCF" w14:textId="00EE63EB" w:rsidR="0088483C" w:rsidRPr="002E3223" w:rsidRDefault="0087365D" w:rsidP="003B6124">
      <w:pPr>
        <w:pStyle w:val="a4"/>
        <w:shd w:val="clear" w:color="auto" w:fill="FFFFFF"/>
        <w:spacing w:before="120" w:beforeAutospacing="0" w:after="120" w:afterAutospacing="0"/>
        <w:jc w:val="both"/>
        <w:textAlignment w:val="baseline"/>
        <w:rPr>
          <w:rFonts w:ascii="Verdana" w:hAnsi="Verdana"/>
        </w:rPr>
      </w:pPr>
      <w:hyperlink r:id="rId14" w:history="1">
        <w:r w:rsidR="002E3223">
          <w:rPr>
            <w:rStyle w:val="a6"/>
            <w:rFonts w:ascii="Verdana" w:hAnsi="Verdana"/>
            <w:i/>
            <w:iCs/>
            <w:sz w:val="22"/>
            <w:szCs w:val="22"/>
            <w:bdr w:val="none" w:sz="0" w:space="0" w:color="auto" w:frame="1"/>
            <w:lang w:val="en-GB"/>
          </w:rPr>
          <w:t>http://eabr.org</w:t>
        </w:r>
      </w:hyperlink>
    </w:p>
    <w:sectPr w:rsidR="0088483C" w:rsidRPr="002E32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rownLLCyr-Medium">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6BC2"/>
    <w:multiLevelType w:val="hybridMultilevel"/>
    <w:tmpl w:val="AF2245AA"/>
    <w:lvl w:ilvl="0" w:tplc="F6384B78">
      <w:numFmt w:val="bullet"/>
      <w:lvlText w:val="•"/>
      <w:lvlJc w:val="left"/>
      <w:pPr>
        <w:ind w:left="1440" w:hanging="360"/>
      </w:pPr>
      <w:rPr>
        <w:rFonts w:ascii="Verdana" w:eastAsia="Times New Roman" w:hAnsi="Verdana"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0BE58D0"/>
    <w:multiLevelType w:val="hybridMultilevel"/>
    <w:tmpl w:val="C8D666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6690D51"/>
    <w:multiLevelType w:val="hybridMultilevel"/>
    <w:tmpl w:val="1E8C3E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4135D79"/>
    <w:multiLevelType w:val="hybridMultilevel"/>
    <w:tmpl w:val="5C0EE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2F4D5E"/>
    <w:multiLevelType w:val="hybridMultilevel"/>
    <w:tmpl w:val="A3543928"/>
    <w:lvl w:ilvl="0" w:tplc="54C22E1A">
      <w:numFmt w:val="bullet"/>
      <w:lvlText w:val="•"/>
      <w:lvlJc w:val="left"/>
      <w:pPr>
        <w:ind w:left="1080" w:hanging="720"/>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2124B7"/>
    <w:multiLevelType w:val="hybridMultilevel"/>
    <w:tmpl w:val="84E23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2C4CF2"/>
    <w:multiLevelType w:val="hybridMultilevel"/>
    <w:tmpl w:val="EC40EC20"/>
    <w:lvl w:ilvl="0" w:tplc="54C22E1A">
      <w:numFmt w:val="bullet"/>
      <w:lvlText w:val="•"/>
      <w:lvlJc w:val="left"/>
      <w:pPr>
        <w:ind w:left="1440" w:hanging="720"/>
      </w:pPr>
      <w:rPr>
        <w:rFonts w:ascii="Verdana" w:eastAsia="Times New Roman" w:hAnsi="Verdan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F9F3DD2"/>
    <w:multiLevelType w:val="hybridMultilevel"/>
    <w:tmpl w:val="CAA491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3C"/>
    <w:rsid w:val="00022297"/>
    <w:rsid w:val="00094A16"/>
    <w:rsid w:val="000D671F"/>
    <w:rsid w:val="00144EA4"/>
    <w:rsid w:val="00151E82"/>
    <w:rsid w:val="0016664F"/>
    <w:rsid w:val="0017634F"/>
    <w:rsid w:val="001809CB"/>
    <w:rsid w:val="001F7767"/>
    <w:rsid w:val="00223714"/>
    <w:rsid w:val="00281D59"/>
    <w:rsid w:val="00296EFF"/>
    <w:rsid w:val="002C591D"/>
    <w:rsid w:val="002C6F28"/>
    <w:rsid w:val="002D53DB"/>
    <w:rsid w:val="002E3223"/>
    <w:rsid w:val="0034135D"/>
    <w:rsid w:val="00372B82"/>
    <w:rsid w:val="00373CD5"/>
    <w:rsid w:val="003755A1"/>
    <w:rsid w:val="0038211B"/>
    <w:rsid w:val="00383661"/>
    <w:rsid w:val="003A062D"/>
    <w:rsid w:val="003B6124"/>
    <w:rsid w:val="0045144B"/>
    <w:rsid w:val="004526FE"/>
    <w:rsid w:val="00455FFB"/>
    <w:rsid w:val="0047546E"/>
    <w:rsid w:val="004B31E9"/>
    <w:rsid w:val="004F6CFF"/>
    <w:rsid w:val="0051376B"/>
    <w:rsid w:val="00530DF9"/>
    <w:rsid w:val="00534EF3"/>
    <w:rsid w:val="005561B9"/>
    <w:rsid w:val="0057413B"/>
    <w:rsid w:val="00595798"/>
    <w:rsid w:val="005A186F"/>
    <w:rsid w:val="005C5D6D"/>
    <w:rsid w:val="00662211"/>
    <w:rsid w:val="006904F5"/>
    <w:rsid w:val="00691DE1"/>
    <w:rsid w:val="006A2480"/>
    <w:rsid w:val="006D7F63"/>
    <w:rsid w:val="006F6290"/>
    <w:rsid w:val="007A230D"/>
    <w:rsid w:val="007F6C39"/>
    <w:rsid w:val="008216E0"/>
    <w:rsid w:val="00863CFB"/>
    <w:rsid w:val="0087365D"/>
    <w:rsid w:val="0088483C"/>
    <w:rsid w:val="0089382A"/>
    <w:rsid w:val="008F119F"/>
    <w:rsid w:val="008F7E7F"/>
    <w:rsid w:val="00911218"/>
    <w:rsid w:val="009330BA"/>
    <w:rsid w:val="00965F59"/>
    <w:rsid w:val="009776DF"/>
    <w:rsid w:val="009D22A1"/>
    <w:rsid w:val="00A116F8"/>
    <w:rsid w:val="00A20BFE"/>
    <w:rsid w:val="00AD0CEC"/>
    <w:rsid w:val="00AD41F3"/>
    <w:rsid w:val="00B17A50"/>
    <w:rsid w:val="00B20168"/>
    <w:rsid w:val="00B37ABB"/>
    <w:rsid w:val="00B570A5"/>
    <w:rsid w:val="00B81622"/>
    <w:rsid w:val="00B830C4"/>
    <w:rsid w:val="00BA6A16"/>
    <w:rsid w:val="00BB149F"/>
    <w:rsid w:val="00BB5973"/>
    <w:rsid w:val="00C756C2"/>
    <w:rsid w:val="00C86FA6"/>
    <w:rsid w:val="00CC26DE"/>
    <w:rsid w:val="00CD369E"/>
    <w:rsid w:val="00CE16D8"/>
    <w:rsid w:val="00CF4D6B"/>
    <w:rsid w:val="00CF793E"/>
    <w:rsid w:val="00D6594A"/>
    <w:rsid w:val="00D74C3F"/>
    <w:rsid w:val="00DC1480"/>
    <w:rsid w:val="00DF5F6B"/>
    <w:rsid w:val="00E4288E"/>
    <w:rsid w:val="00E6439D"/>
    <w:rsid w:val="00E774FB"/>
    <w:rsid w:val="00EC49B9"/>
    <w:rsid w:val="00EF5536"/>
    <w:rsid w:val="00F439CC"/>
    <w:rsid w:val="00FB79F5"/>
    <w:rsid w:val="00FE1CA2"/>
    <w:rsid w:val="00F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A331C"/>
  <w15:chartTrackingRefBased/>
  <w15:docId w15:val="{CB3BA9F2-FA9B-4DC7-AAFB-74A0FAFB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49F"/>
    <w:rPr>
      <w:lang w:val="ru-RU"/>
    </w:rPr>
  </w:style>
  <w:style w:type="paragraph" w:styleId="2">
    <w:name w:val="heading 2"/>
    <w:basedOn w:val="a"/>
    <w:link w:val="20"/>
    <w:uiPriority w:val="9"/>
    <w:qFormat/>
    <w:rsid w:val="0088483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483C"/>
    <w:rPr>
      <w:rFonts w:ascii="Times New Roman" w:eastAsia="Times New Roman" w:hAnsi="Times New Roman" w:cs="Times New Roman"/>
      <w:b/>
      <w:bCs/>
      <w:sz w:val="36"/>
      <w:szCs w:val="36"/>
    </w:rPr>
  </w:style>
  <w:style w:type="character" w:styleId="a3">
    <w:name w:val="Strong"/>
    <w:basedOn w:val="a0"/>
    <w:uiPriority w:val="22"/>
    <w:qFormat/>
    <w:rsid w:val="0088483C"/>
    <w:rPr>
      <w:b/>
      <w:bCs/>
    </w:rPr>
  </w:style>
  <w:style w:type="paragraph" w:styleId="a4">
    <w:name w:val="Normal (Web)"/>
    <w:aliases w:val="Обычный (Web) Знак,Обычный (веб) Знак Знак,Обычный (Web) Знак Знак Знак,Обычный (Web)1 Знак Знак,Обычный (Web)1 Знак,Обычный (Web)1,Обычный (Web) Знак Знак Знак Знак Знак Знак Знак Знак Знак Знак Знак Знак,Знак Знак Знак Знак Знак"/>
    <w:basedOn w:val="a"/>
    <w:link w:val="a5"/>
    <w:uiPriority w:val="99"/>
    <w:unhideWhenUsed/>
    <w:qFormat/>
    <w:rsid w:val="008848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Hyperlink"/>
    <w:uiPriority w:val="99"/>
    <w:unhideWhenUsed/>
    <w:rsid w:val="0088483C"/>
    <w:rPr>
      <w:color w:val="0563C1"/>
      <w:u w:val="single"/>
    </w:rPr>
  </w:style>
  <w:style w:type="character" w:customStyle="1" w:styleId="a5">
    <w:name w:val="Обычный (веб) Знак"/>
    <w:aliases w:val="Обычный (Web) Знак Знак,Обычный (веб) Знак Знак Знак,Обычный (Web) Знак Знак Знак Знак,Обычный (Web)1 Знак Знак Знак,Обычный (Web)1 Знак Знак1,Обычный (Web)1 Знак1,Знак Знак Знак Знак Знак Знак"/>
    <w:link w:val="a4"/>
    <w:uiPriority w:val="99"/>
    <w:locked/>
    <w:rsid w:val="0088483C"/>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8216E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216E0"/>
    <w:rPr>
      <w:rFonts w:ascii="Segoe UI" w:hAnsi="Segoe UI" w:cs="Segoe UI"/>
      <w:sz w:val="18"/>
      <w:szCs w:val="18"/>
      <w:lang w:val="ru-RU"/>
    </w:rPr>
  </w:style>
  <w:style w:type="paragraph" w:styleId="a9">
    <w:name w:val="List Paragraph"/>
    <w:basedOn w:val="a"/>
    <w:uiPriority w:val="34"/>
    <w:qFormat/>
    <w:rsid w:val="004B31E9"/>
    <w:pPr>
      <w:ind w:left="720"/>
      <w:contextualSpacing/>
    </w:pPr>
  </w:style>
  <w:style w:type="character" w:styleId="aa">
    <w:name w:val="annotation reference"/>
    <w:basedOn w:val="a0"/>
    <w:uiPriority w:val="99"/>
    <w:semiHidden/>
    <w:unhideWhenUsed/>
    <w:rsid w:val="00E4288E"/>
    <w:rPr>
      <w:sz w:val="16"/>
      <w:szCs w:val="16"/>
    </w:rPr>
  </w:style>
  <w:style w:type="paragraph" w:styleId="ab">
    <w:name w:val="annotation text"/>
    <w:basedOn w:val="a"/>
    <w:link w:val="ac"/>
    <w:uiPriority w:val="99"/>
    <w:semiHidden/>
    <w:unhideWhenUsed/>
    <w:rsid w:val="00E4288E"/>
    <w:pPr>
      <w:spacing w:line="240" w:lineRule="auto"/>
    </w:pPr>
    <w:rPr>
      <w:sz w:val="20"/>
      <w:szCs w:val="20"/>
    </w:rPr>
  </w:style>
  <w:style w:type="character" w:customStyle="1" w:styleId="ac">
    <w:name w:val="Текст примечания Знак"/>
    <w:basedOn w:val="a0"/>
    <w:link w:val="ab"/>
    <w:uiPriority w:val="99"/>
    <w:semiHidden/>
    <w:rsid w:val="00E4288E"/>
    <w:rPr>
      <w:sz w:val="20"/>
      <w:szCs w:val="20"/>
      <w:lang w:val="ru-RU"/>
    </w:rPr>
  </w:style>
  <w:style w:type="paragraph" w:styleId="ad">
    <w:name w:val="annotation subject"/>
    <w:basedOn w:val="ab"/>
    <w:next w:val="ab"/>
    <w:link w:val="ae"/>
    <w:uiPriority w:val="99"/>
    <w:semiHidden/>
    <w:unhideWhenUsed/>
    <w:rsid w:val="00E4288E"/>
    <w:rPr>
      <w:b/>
      <w:bCs/>
    </w:rPr>
  </w:style>
  <w:style w:type="character" w:customStyle="1" w:styleId="ae">
    <w:name w:val="Тема примечания Знак"/>
    <w:basedOn w:val="ac"/>
    <w:link w:val="ad"/>
    <w:uiPriority w:val="99"/>
    <w:semiHidden/>
    <w:rsid w:val="00E4288E"/>
    <w:rPr>
      <w:b/>
      <w:bCs/>
      <w:sz w:val="20"/>
      <w:szCs w:val="20"/>
      <w:lang w:val="ru-RU"/>
    </w:rPr>
  </w:style>
  <w:style w:type="table" w:styleId="af">
    <w:name w:val="Table Grid"/>
    <w:basedOn w:val="a1"/>
    <w:uiPriority w:val="39"/>
    <w:rsid w:val="00372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6300">
      <w:bodyDiv w:val="1"/>
      <w:marLeft w:val="0"/>
      <w:marRight w:val="0"/>
      <w:marTop w:val="0"/>
      <w:marBottom w:val="0"/>
      <w:divBdr>
        <w:top w:val="none" w:sz="0" w:space="0" w:color="auto"/>
        <w:left w:val="none" w:sz="0" w:space="0" w:color="auto"/>
        <w:bottom w:val="none" w:sz="0" w:space="0" w:color="auto"/>
        <w:right w:val="none" w:sz="0" w:space="0" w:color="auto"/>
      </w:divBdr>
    </w:div>
    <w:div w:id="57292162">
      <w:bodyDiv w:val="1"/>
      <w:marLeft w:val="0"/>
      <w:marRight w:val="0"/>
      <w:marTop w:val="0"/>
      <w:marBottom w:val="0"/>
      <w:divBdr>
        <w:top w:val="none" w:sz="0" w:space="0" w:color="auto"/>
        <w:left w:val="none" w:sz="0" w:space="0" w:color="auto"/>
        <w:bottom w:val="none" w:sz="0" w:space="0" w:color="auto"/>
        <w:right w:val="none" w:sz="0" w:space="0" w:color="auto"/>
      </w:divBdr>
    </w:div>
    <w:div w:id="1519738878">
      <w:bodyDiv w:val="1"/>
      <w:marLeft w:val="0"/>
      <w:marRight w:val="0"/>
      <w:marTop w:val="0"/>
      <w:marBottom w:val="0"/>
      <w:divBdr>
        <w:top w:val="none" w:sz="0" w:space="0" w:color="auto"/>
        <w:left w:val="none" w:sz="0" w:space="0" w:color="auto"/>
        <w:bottom w:val="none" w:sz="0" w:space="0" w:color="auto"/>
        <w:right w:val="none" w:sz="0" w:space="0" w:color="auto"/>
      </w:divBdr>
      <w:divsChild>
        <w:div w:id="1103187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6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eabr.org" TargetMode="External"/><Relationship Id="rId13" Type="http://schemas.openxmlformats.org/officeDocument/2006/relationships/hyperlink" Target="mailto:pressa@eabr.org" TargetMode="External"/><Relationship Id="rId3" Type="http://schemas.openxmlformats.org/officeDocument/2006/relationships/settings" Target="settings.xml"/><Relationship Id="rId7" Type="http://schemas.openxmlformats.org/officeDocument/2006/relationships/hyperlink" Target="https://eabr.org/analytics/special-reports/" TargetMode="External"/><Relationship Id="rId12" Type="http://schemas.openxmlformats.org/officeDocument/2006/relationships/hyperlink" Target="https://eabr.org/en/analytics/special-repor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abr.org/" TargetMode="External"/><Relationship Id="rId14" Type="http://schemas.openxmlformats.org/officeDocument/2006/relationships/hyperlink" Target="http://eab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2066</Words>
  <Characters>12750</Characters>
  <Application>Microsoft Office Word</Application>
  <DocSecurity>0</DocSecurity>
  <Lines>326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Ахунбаев Арман М.</dc:creator>
  <cp:keywords/>
  <dc:description/>
  <cp:lastModifiedBy>Кауфман Юлия Сергеевна</cp:lastModifiedBy>
  <cp:revision>9</cp:revision>
  <cp:lastPrinted>2025-10-10T06:36:00Z</cp:lastPrinted>
  <dcterms:created xsi:type="dcterms:W3CDTF">2025-10-22T10:23:00Z</dcterms:created>
  <dcterms:modified xsi:type="dcterms:W3CDTF">2025-10-23T06:41:00Z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88e7e6ad-dbda-4be3-9ad0-38d08d4c8410</vt:lpwstr>
  </property>
</Properties>
</file>